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547F097E"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F42024">
        <w:rPr>
          <w:rFonts w:cs="Arial"/>
          <w:bCs/>
          <w:sz w:val="20"/>
        </w:rPr>
        <w:t xml:space="preserve"> #96</w:t>
      </w:r>
      <w:r w:rsidR="001B69D7">
        <w:rPr>
          <w:rFonts w:cs="Arial" w:hint="eastAsia"/>
          <w:bCs/>
          <w:sz w:val="20"/>
          <w:lang w:eastAsia="ja-JP"/>
        </w:rPr>
        <w:tab/>
      </w:r>
      <w:r w:rsidR="001B69D7">
        <w:rPr>
          <w:rFonts w:cs="Arial" w:hint="eastAsia"/>
          <w:bCs/>
          <w:sz w:val="20"/>
          <w:lang w:eastAsia="ja-JP"/>
        </w:rPr>
        <w:tab/>
      </w:r>
      <w:r w:rsidR="00C4723C" w:rsidRPr="00733826">
        <w:rPr>
          <w:rFonts w:cs="Arial" w:hint="eastAsia"/>
          <w:bCs/>
          <w:sz w:val="20"/>
          <w:lang w:eastAsia="ja-JP"/>
        </w:rPr>
        <w:t>R1-</w:t>
      </w:r>
      <w:r w:rsidR="008345DE" w:rsidRPr="008345DE">
        <w:rPr>
          <w:rFonts w:cs="Arial"/>
          <w:bCs/>
          <w:sz w:val="20"/>
          <w:lang w:eastAsia="ja-JP"/>
        </w:rPr>
        <w:t>19</w:t>
      </w:r>
      <w:r w:rsidR="00F42024">
        <w:rPr>
          <w:rFonts w:cs="Arial"/>
          <w:bCs/>
          <w:sz w:val="20"/>
          <w:lang w:eastAsia="ja-JP"/>
        </w:rPr>
        <w:t>02325</w:t>
      </w:r>
    </w:p>
    <w:p w14:paraId="552A328C" w14:textId="0C12F95F" w:rsidR="00941D27" w:rsidRPr="0093682F" w:rsidRDefault="00F42024" w:rsidP="00941D27">
      <w:pPr>
        <w:pStyle w:val="TdocHeader2"/>
        <w:jc w:val="left"/>
        <w:rPr>
          <w:rFonts w:eastAsiaTheme="minorEastAsia"/>
          <w:lang w:val="en-US"/>
        </w:rPr>
      </w:pPr>
      <w:r>
        <w:rPr>
          <w:rFonts w:eastAsia="ＭＳ 明朝" w:cs="Arial"/>
          <w:bCs/>
          <w:sz w:val="20"/>
          <w:lang w:val="en-US" w:eastAsia="ja-JP"/>
        </w:rPr>
        <w:t>Athens, Greece, 25</w:t>
      </w:r>
      <w:r w:rsidRPr="00F42024">
        <w:rPr>
          <w:rFonts w:eastAsia="ＭＳ 明朝" w:cs="Arial"/>
          <w:bCs/>
          <w:sz w:val="20"/>
          <w:vertAlign w:val="superscript"/>
          <w:lang w:val="en-US" w:eastAsia="ja-JP"/>
        </w:rPr>
        <w:t>th</w:t>
      </w:r>
      <w:r>
        <w:rPr>
          <w:rFonts w:eastAsia="ＭＳ 明朝" w:cs="Arial"/>
          <w:bCs/>
          <w:sz w:val="20"/>
          <w:lang w:val="en-US" w:eastAsia="ja-JP"/>
        </w:rPr>
        <w:t xml:space="preserve"> February – 1</w:t>
      </w:r>
      <w:r w:rsidRPr="00F42024">
        <w:rPr>
          <w:rFonts w:eastAsia="ＭＳ 明朝" w:cs="Arial"/>
          <w:bCs/>
          <w:sz w:val="20"/>
          <w:vertAlign w:val="superscript"/>
          <w:lang w:val="en-US" w:eastAsia="ja-JP"/>
        </w:rPr>
        <w:t>st</w:t>
      </w:r>
      <w:r>
        <w:rPr>
          <w:rFonts w:eastAsia="ＭＳ 明朝" w:cs="Arial"/>
          <w:bCs/>
          <w:sz w:val="20"/>
          <w:lang w:val="en-US" w:eastAsia="ja-JP"/>
        </w:rPr>
        <w:t xml:space="preserve"> March</w:t>
      </w:r>
      <w:r w:rsidR="00DE7D0C">
        <w:rPr>
          <w:rFonts w:eastAsia="ＭＳ 明朝" w:cs="Arial"/>
          <w:bCs/>
          <w:sz w:val="20"/>
          <w:lang w:val="en-US" w:eastAsia="ja-JP"/>
        </w:rPr>
        <w:t>, 2019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D2C22B2"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91A0D">
        <w:rPr>
          <w:b w:val="0"/>
          <w:sz w:val="20"/>
        </w:rPr>
        <w:t>HARQ enhancement for NR-U</w:t>
      </w:r>
    </w:p>
    <w:p w14:paraId="3BEF152C" w14:textId="3619702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34010">
        <w:rPr>
          <w:rFonts w:ascii="Arial" w:hAnsi="Arial"/>
          <w:lang w:eastAsia="ja-JP"/>
        </w:rPr>
        <w:t>2.2.</w:t>
      </w:r>
      <w:r w:rsidR="00DE7D0C">
        <w:rPr>
          <w:rFonts w:ascii="Arial" w:hAnsi="Arial"/>
          <w:lang w:eastAsia="ja-JP"/>
        </w:rPr>
        <w:t>2</w:t>
      </w:r>
      <w:r w:rsidR="00F34010">
        <w:rPr>
          <w:rFonts w:ascii="Arial" w:hAnsi="Arial"/>
          <w:lang w:eastAsia="ja-JP"/>
        </w:rPr>
        <w:t>.</w:t>
      </w:r>
      <w:r w:rsidR="006C4A79">
        <w:rPr>
          <w:rFonts w:ascii="Arial" w:hAnsi="Arial"/>
          <w:lang w:eastAsia="ja-JP"/>
        </w:rPr>
        <w:t>3</w:t>
      </w:r>
    </w:p>
    <w:p w14:paraId="5E0BFE4B" w14:textId="592BD51C"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091893E5" w:rsidR="00AB66E3" w:rsidRDefault="003831E7" w:rsidP="00794EA5">
      <w:pPr>
        <w:pStyle w:val="1"/>
        <w:pBdr>
          <w:top w:val="single" w:sz="12" w:space="4" w:color="auto"/>
        </w:pBdr>
        <w:tabs>
          <w:tab w:val="num" w:pos="426"/>
        </w:tabs>
        <w:ind w:left="425" w:hanging="425"/>
        <w:rPr>
          <w:szCs w:val="36"/>
        </w:rPr>
      </w:pPr>
      <w:r w:rsidRPr="0020685A">
        <w:rPr>
          <w:szCs w:val="36"/>
        </w:rPr>
        <w:t>Introduction</w:t>
      </w:r>
    </w:p>
    <w:p w14:paraId="6A9E4141" w14:textId="0F32159D" w:rsidR="001505FC" w:rsidRDefault="00F34010" w:rsidP="001B17D7">
      <w:pPr>
        <w:rPr>
          <w:lang w:eastAsia="ja-JP"/>
        </w:rPr>
      </w:pPr>
      <w:r>
        <w:rPr>
          <w:lang w:eastAsia="ja-JP"/>
        </w:rPr>
        <w:t>T</w:t>
      </w:r>
      <w:r>
        <w:rPr>
          <w:rFonts w:hint="eastAsia"/>
          <w:lang w:eastAsia="ja-JP"/>
        </w:rPr>
        <w:t xml:space="preserve">his </w:t>
      </w:r>
      <w:r>
        <w:rPr>
          <w:lang w:eastAsia="ja-JP"/>
        </w:rPr>
        <w:t>contribution provides our view on poss</w:t>
      </w:r>
      <w:r w:rsidR="001B17D7">
        <w:rPr>
          <w:lang w:eastAsia="ja-JP"/>
        </w:rPr>
        <w:t>ible HARQ enhancements in NR-based access to Unlicensed spectrum (NR-U).</w:t>
      </w:r>
      <w:r w:rsidR="005F28B0">
        <w:rPr>
          <w:lang w:eastAsia="ja-JP"/>
        </w:rPr>
        <w:t xml:space="preserve"> </w:t>
      </w:r>
    </w:p>
    <w:p w14:paraId="4B6A7873" w14:textId="61B8003D" w:rsidR="009454EF" w:rsidRDefault="005F28B0" w:rsidP="00CC6E3A">
      <w:pPr>
        <w:rPr>
          <w:lang w:eastAsia="ja-JP"/>
        </w:rPr>
      </w:pPr>
      <w:r>
        <w:rPr>
          <w:lang w:eastAsia="ja-JP"/>
        </w:rPr>
        <w:t>Following aspects are discussed:</w:t>
      </w:r>
    </w:p>
    <w:p w14:paraId="2F88C6A9" w14:textId="1D511A4B" w:rsidR="009A5FE2" w:rsidRDefault="009454EF" w:rsidP="005F28B0">
      <w:pPr>
        <w:pStyle w:val="aff1"/>
        <w:numPr>
          <w:ilvl w:val="0"/>
          <w:numId w:val="31"/>
        </w:numPr>
        <w:ind w:leftChars="0"/>
        <w:rPr>
          <w:lang w:eastAsia="ja-JP"/>
        </w:rPr>
      </w:pPr>
      <w:r>
        <w:rPr>
          <w:lang w:eastAsia="ja-JP"/>
        </w:rPr>
        <w:t>Additional HARQ-ACK transmission opportunities</w:t>
      </w:r>
    </w:p>
    <w:p w14:paraId="593E6802" w14:textId="1F1C5D33" w:rsidR="005F28B0" w:rsidRDefault="005F28B0" w:rsidP="005F28B0">
      <w:pPr>
        <w:pStyle w:val="aff1"/>
        <w:numPr>
          <w:ilvl w:val="0"/>
          <w:numId w:val="31"/>
        </w:numPr>
        <w:ind w:leftChars="0"/>
        <w:rPr>
          <w:lang w:eastAsia="ja-JP"/>
        </w:rPr>
      </w:pPr>
      <w:r>
        <w:rPr>
          <w:lang w:eastAsia="ja-JP"/>
        </w:rPr>
        <w:t>HARQ codebook size determination</w:t>
      </w:r>
    </w:p>
    <w:p w14:paraId="5688278B" w14:textId="6073734F" w:rsidR="005F28B0" w:rsidRDefault="005F28B0" w:rsidP="005F28B0">
      <w:pPr>
        <w:pStyle w:val="aff1"/>
        <w:numPr>
          <w:ilvl w:val="0"/>
          <w:numId w:val="31"/>
        </w:numPr>
        <w:ind w:leftChars="0"/>
        <w:rPr>
          <w:lang w:eastAsia="ja-JP"/>
        </w:rPr>
      </w:pPr>
      <w:bookmarkStart w:id="0" w:name="_GoBack"/>
      <w:bookmarkEnd w:id="0"/>
      <w:r w:rsidRPr="005F28B0">
        <w:rPr>
          <w:lang w:eastAsia="ja-JP"/>
        </w:rPr>
        <w:t>Multiple TTIs scheduling</w:t>
      </w:r>
    </w:p>
    <w:p w14:paraId="728EED2D" w14:textId="761B69EC" w:rsidR="005F28B0" w:rsidRDefault="005F28B0" w:rsidP="00F45CA5">
      <w:pPr>
        <w:pStyle w:val="aff1"/>
        <w:numPr>
          <w:ilvl w:val="0"/>
          <w:numId w:val="31"/>
        </w:numPr>
        <w:ind w:leftChars="0"/>
        <w:rPr>
          <w:lang w:eastAsia="ja-JP"/>
        </w:rPr>
      </w:pPr>
      <w:r w:rsidRPr="005F28B0">
        <w:rPr>
          <w:lang w:eastAsia="ja-JP"/>
        </w:rPr>
        <w:t>CBG-based HARQ and scheduling</w:t>
      </w:r>
    </w:p>
    <w:p w14:paraId="1CF0E468" w14:textId="77777777" w:rsidR="00F86F62" w:rsidRPr="00F86F62" w:rsidRDefault="00F86F62" w:rsidP="001B17D7">
      <w:pPr>
        <w:rPr>
          <w:lang w:eastAsia="ja-JP"/>
        </w:rPr>
      </w:pPr>
    </w:p>
    <w:p w14:paraId="320E6A0C" w14:textId="4F534F5F" w:rsidR="00B30029" w:rsidRDefault="00245C67" w:rsidP="006C4A79">
      <w:pPr>
        <w:pStyle w:val="1"/>
        <w:tabs>
          <w:tab w:val="num" w:pos="426"/>
        </w:tabs>
        <w:ind w:left="425" w:hanging="425"/>
        <w:rPr>
          <w:lang w:val="en-US" w:eastAsia="ja-JP"/>
        </w:rPr>
      </w:pPr>
      <w:r>
        <w:rPr>
          <w:lang w:val="en-US" w:eastAsia="ja-JP"/>
        </w:rPr>
        <w:t>Discussion</w:t>
      </w:r>
    </w:p>
    <w:p w14:paraId="42A798D3" w14:textId="152D0729" w:rsidR="00CF76FD" w:rsidRDefault="009454EF" w:rsidP="00347F65">
      <w:pPr>
        <w:rPr>
          <w:b/>
          <w:u w:val="single"/>
          <w:lang w:val="en-US" w:eastAsia="ja-JP"/>
        </w:rPr>
      </w:pPr>
      <w:r>
        <w:rPr>
          <w:rFonts w:hint="eastAsia"/>
          <w:b/>
          <w:u w:val="single"/>
          <w:lang w:val="en-US" w:eastAsia="ja-JP"/>
        </w:rPr>
        <w:t>Additional HARQ-ACK transmission opportunities</w:t>
      </w:r>
    </w:p>
    <w:p w14:paraId="6AEDB1FF" w14:textId="06073D5B" w:rsidR="00F22D3F" w:rsidRDefault="00087EE1" w:rsidP="00F22D3F">
      <w:pPr>
        <w:rPr>
          <w:lang w:val="en-US" w:eastAsia="ja-JP"/>
        </w:rPr>
      </w:pPr>
      <w:r>
        <w:rPr>
          <w:lang w:val="en-US" w:eastAsia="ja-JP"/>
        </w:rPr>
        <w:t>In RAN1#94, it has been agreed that HARQ</w:t>
      </w:r>
      <w:r w:rsidR="005A2637">
        <w:rPr>
          <w:lang w:val="en-US" w:eastAsia="ja-JP"/>
        </w:rPr>
        <w:t>-ACK</w:t>
      </w:r>
      <w:r>
        <w:rPr>
          <w:lang w:val="en-US" w:eastAsia="ja-JP"/>
        </w:rPr>
        <w:t xml:space="preserve"> feedback corresponding to PDSCHs of a COT can be reported outside of the COT</w:t>
      </w:r>
      <w:r w:rsidR="00645BCF">
        <w:rPr>
          <w:lang w:val="en-US" w:eastAsia="ja-JP"/>
        </w:rPr>
        <w:t xml:space="preserve">. </w:t>
      </w:r>
      <w:r w:rsidR="00BC14F5">
        <w:rPr>
          <w:lang w:val="en-US" w:eastAsia="ja-JP"/>
        </w:rPr>
        <w:t>This agreement is</w:t>
      </w:r>
      <w:r w:rsidR="00645BCF">
        <w:rPr>
          <w:lang w:val="en-US" w:eastAsia="ja-JP"/>
        </w:rPr>
        <w:t xml:space="preserve"> beneficial </w:t>
      </w:r>
      <w:r w:rsidR="00BC14F5">
        <w:rPr>
          <w:lang w:val="en-US" w:eastAsia="ja-JP"/>
        </w:rPr>
        <w:t>when</w:t>
      </w:r>
      <w:r w:rsidR="00645BCF">
        <w:rPr>
          <w:lang w:val="en-US" w:eastAsia="ja-JP"/>
        </w:rPr>
        <w:t xml:space="preserve"> the feedback </w:t>
      </w:r>
      <w:r w:rsidR="00A868E5">
        <w:rPr>
          <w:lang w:val="en-US" w:eastAsia="ja-JP"/>
        </w:rPr>
        <w:t>is not</w:t>
      </w:r>
      <w:r w:rsidR="00645BCF">
        <w:rPr>
          <w:lang w:val="en-US" w:eastAsia="ja-JP"/>
        </w:rPr>
        <w:t xml:space="preserve"> transmitted due to LBT failure or </w:t>
      </w:r>
      <w:r w:rsidR="00BC14F5">
        <w:rPr>
          <w:lang w:val="en-US" w:eastAsia="ja-JP"/>
        </w:rPr>
        <w:t xml:space="preserve">when the </w:t>
      </w:r>
      <w:r w:rsidR="00645BCF">
        <w:rPr>
          <w:lang w:val="en-US" w:eastAsia="ja-JP"/>
        </w:rPr>
        <w:t xml:space="preserve">processing delay </w:t>
      </w:r>
      <w:r w:rsidR="00BC14F5">
        <w:rPr>
          <w:lang w:val="en-US" w:eastAsia="ja-JP"/>
        </w:rPr>
        <w:t xml:space="preserve">is </w:t>
      </w:r>
      <w:r w:rsidR="00A868E5">
        <w:rPr>
          <w:lang w:val="en-US" w:eastAsia="ja-JP"/>
        </w:rPr>
        <w:t>not</w:t>
      </w:r>
      <w:r w:rsidR="00645BCF">
        <w:rPr>
          <w:lang w:val="en-US" w:eastAsia="ja-JP"/>
        </w:rPr>
        <w:t xml:space="preserve"> sufficient for HARQ</w:t>
      </w:r>
      <w:r w:rsidR="005A2637">
        <w:rPr>
          <w:lang w:val="en-US" w:eastAsia="ja-JP"/>
        </w:rPr>
        <w:t>-ACK</w:t>
      </w:r>
      <w:r w:rsidR="00645BCF">
        <w:rPr>
          <w:lang w:val="en-US" w:eastAsia="ja-JP"/>
        </w:rPr>
        <w:t xml:space="preserve"> reporting in the current COT. </w:t>
      </w:r>
      <w:r w:rsidR="00CD6C25">
        <w:rPr>
          <w:lang w:val="en-US" w:eastAsia="ja-JP"/>
        </w:rPr>
        <w:t>For the resource where HARQ-ACK feedback over PUCCH for separated COT should be sent, it should be in a shared COT, as stated in companion contribution</w:t>
      </w:r>
      <w:r w:rsidR="00E30C58">
        <w:rPr>
          <w:lang w:val="en-US" w:eastAsia="ja-JP"/>
        </w:rPr>
        <w:t xml:space="preserve"> [1]</w:t>
      </w:r>
      <w:r w:rsidR="00CD6C25">
        <w:rPr>
          <w:lang w:val="en-US" w:eastAsia="ja-JP"/>
        </w:rPr>
        <w:t xml:space="preserve">. </w:t>
      </w:r>
      <w:r w:rsidR="00C26221">
        <w:rPr>
          <w:lang w:val="en-US" w:eastAsia="ja-JP"/>
        </w:rPr>
        <w:t xml:space="preserve">In addition, to provide multiple opportunities for HARQ feedback was also identified as beneficial. </w:t>
      </w:r>
      <w:r w:rsidR="00BC14F5">
        <w:rPr>
          <w:lang w:val="en-US" w:eastAsia="ja-JP"/>
        </w:rPr>
        <w:t>T</w:t>
      </w:r>
      <w:r w:rsidR="006F0176">
        <w:rPr>
          <w:lang w:val="en-US" w:eastAsia="ja-JP"/>
        </w:rPr>
        <w:t>he feedback transmission could not always be guaranteed due to PUCCH misdetection and</w:t>
      </w:r>
      <w:r w:rsidR="00BC14F5">
        <w:rPr>
          <w:lang w:val="en-US" w:eastAsia="ja-JP"/>
        </w:rPr>
        <w:t>/or</w:t>
      </w:r>
      <w:r w:rsidR="006F0176">
        <w:rPr>
          <w:lang w:val="en-US" w:eastAsia="ja-JP"/>
        </w:rPr>
        <w:t xml:space="preserve"> LBT failure. </w:t>
      </w:r>
      <w:r w:rsidR="00377477">
        <w:rPr>
          <w:lang w:val="en-US" w:eastAsia="ja-JP"/>
        </w:rPr>
        <w:t xml:space="preserve">Following </w:t>
      </w:r>
      <w:r w:rsidR="006F0176">
        <w:rPr>
          <w:lang w:val="en-US" w:eastAsia="ja-JP"/>
        </w:rPr>
        <w:t xml:space="preserve">five alternatives </w:t>
      </w:r>
      <w:r w:rsidR="00756710">
        <w:rPr>
          <w:lang w:val="en-US" w:eastAsia="ja-JP"/>
        </w:rPr>
        <w:t xml:space="preserve">were listed as candidate solutions </w:t>
      </w:r>
      <w:r w:rsidR="006F0176">
        <w:rPr>
          <w:lang w:val="en-US" w:eastAsia="ja-JP"/>
        </w:rPr>
        <w:t>to allow cross-COT HARQ-ACK feedback and multiple opportunities for HARQ-ACK feedback</w:t>
      </w:r>
      <w:r w:rsidR="004C5C67">
        <w:rPr>
          <w:lang w:val="en-US" w:eastAsia="ja-JP"/>
        </w:rPr>
        <w:t>:</w:t>
      </w:r>
    </w:p>
    <w:p w14:paraId="552FDBBC" w14:textId="07CAB399" w:rsidR="004C5C67" w:rsidRPr="004C5C67" w:rsidRDefault="004C5C67" w:rsidP="004C5C67">
      <w:pPr>
        <w:numPr>
          <w:ilvl w:val="0"/>
          <w:numId w:val="26"/>
        </w:numPr>
        <w:spacing w:after="0" w:line="276" w:lineRule="auto"/>
        <w:jc w:val="both"/>
        <w:rPr>
          <w:rFonts w:eastAsia="SimSun"/>
          <w:szCs w:val="22"/>
          <w:lang w:val="en-US" w:eastAsia="x-none"/>
        </w:rPr>
      </w:pPr>
      <w:r w:rsidRPr="004C5C67">
        <w:rPr>
          <w:rFonts w:eastAsia="SimSun"/>
          <w:szCs w:val="22"/>
          <w:lang w:val="en-US" w:eastAsia="x-none"/>
        </w:rPr>
        <w:t xml:space="preserve">Alt1: </w:t>
      </w:r>
      <w:proofErr w:type="spellStart"/>
      <w:r w:rsidRPr="004C5C67">
        <w:rPr>
          <w:rFonts w:eastAsia="SimSun"/>
          <w:szCs w:val="22"/>
          <w:lang w:val="en-US" w:eastAsia="x-none"/>
        </w:rPr>
        <w:t>gNB</w:t>
      </w:r>
      <w:proofErr w:type="spellEnd"/>
      <w:r w:rsidRPr="004C5C67">
        <w:rPr>
          <w:rFonts w:eastAsia="SimSun"/>
          <w:szCs w:val="22"/>
          <w:lang w:val="en-US" w:eastAsia="x-none"/>
        </w:rPr>
        <w:t xml:space="preserve"> requests/triggers feedback for PDSCH from earlier COT(s)</w:t>
      </w:r>
      <w:r w:rsidR="006F0176">
        <w:rPr>
          <w:rFonts w:eastAsia="SimSun"/>
          <w:szCs w:val="22"/>
          <w:lang w:val="en-US" w:eastAsia="x-none"/>
        </w:rPr>
        <w:t xml:space="preserve"> or additional reporting of earlier HARQ feedback</w:t>
      </w:r>
    </w:p>
    <w:p w14:paraId="280D973C" w14:textId="77777777" w:rsidR="004C5C67" w:rsidRPr="004C5C67" w:rsidRDefault="004C5C67" w:rsidP="004C5C67">
      <w:pPr>
        <w:numPr>
          <w:ilvl w:val="0"/>
          <w:numId w:val="26"/>
        </w:numPr>
        <w:spacing w:after="0" w:line="276" w:lineRule="auto"/>
        <w:jc w:val="both"/>
        <w:rPr>
          <w:rFonts w:eastAsia="SimSun"/>
          <w:szCs w:val="22"/>
          <w:lang w:val="en-US" w:eastAsia="x-none"/>
        </w:rPr>
      </w:pPr>
      <w:r w:rsidRPr="004C5C67">
        <w:rPr>
          <w:rFonts w:eastAsia="SimSun"/>
          <w:szCs w:val="22"/>
          <w:lang w:val="en-US" w:eastAsia="x-none"/>
        </w:rPr>
        <w:t>Alt2: UE is configured to report HARQ feedback for PDSCH from earlier COT(s) without an explicit request/trigger</w:t>
      </w:r>
    </w:p>
    <w:p w14:paraId="73A7094C" w14:textId="4719AFE3" w:rsidR="002611FB" w:rsidRPr="006F0176" w:rsidRDefault="004C5C67" w:rsidP="002611FB">
      <w:pPr>
        <w:numPr>
          <w:ilvl w:val="0"/>
          <w:numId w:val="26"/>
        </w:numPr>
        <w:spacing w:after="0" w:line="276" w:lineRule="auto"/>
        <w:jc w:val="both"/>
        <w:rPr>
          <w:rFonts w:eastAsia="SimSun"/>
          <w:szCs w:val="22"/>
          <w:lang w:val="en-US" w:eastAsia="x-none"/>
        </w:rPr>
      </w:pPr>
      <w:r w:rsidRPr="004C5C67">
        <w:rPr>
          <w:rFonts w:eastAsia="SimSun"/>
          <w:szCs w:val="22"/>
          <w:lang w:val="en-US" w:eastAsia="x-none"/>
        </w:rPr>
        <w:t xml:space="preserve">Alt3: by </w:t>
      </w:r>
      <w:r w:rsidRPr="004C5C67">
        <w:rPr>
          <w:rFonts w:eastAsia="SimSun"/>
          <w:bCs/>
          <w:szCs w:val="22"/>
          <w:lang w:val="en-US" w:eastAsia="x-none"/>
        </w:rPr>
        <w:t>PDSCH-to-HARQ-timing-indicator in the DCI scheduling the PDSCH</w:t>
      </w:r>
    </w:p>
    <w:p w14:paraId="3F7D6757" w14:textId="0924E1AE" w:rsidR="006F0176" w:rsidRPr="006F0176" w:rsidRDefault="006F0176" w:rsidP="002611FB">
      <w:pPr>
        <w:numPr>
          <w:ilvl w:val="0"/>
          <w:numId w:val="26"/>
        </w:numPr>
        <w:spacing w:after="0" w:line="276" w:lineRule="auto"/>
        <w:jc w:val="both"/>
        <w:rPr>
          <w:rFonts w:eastAsia="SimSun"/>
          <w:szCs w:val="22"/>
          <w:lang w:val="en-US" w:eastAsia="x-none"/>
        </w:rPr>
      </w:pPr>
      <w:r>
        <w:rPr>
          <w:rFonts w:eastAsia="SimSun"/>
          <w:bCs/>
          <w:szCs w:val="22"/>
          <w:lang w:val="en-US" w:eastAsia="x-none"/>
        </w:rPr>
        <w:t xml:space="preserve">Alt4: preconfigured/pre-indicated multiple opportunities in frequency domain in different LBT </w:t>
      </w:r>
      <w:proofErr w:type="spellStart"/>
      <w:r>
        <w:rPr>
          <w:rFonts w:eastAsia="SimSun"/>
          <w:bCs/>
          <w:szCs w:val="22"/>
          <w:lang w:val="en-US" w:eastAsia="x-none"/>
        </w:rPr>
        <w:t>subbands</w:t>
      </w:r>
      <w:proofErr w:type="spellEnd"/>
    </w:p>
    <w:p w14:paraId="66F28B2D" w14:textId="78AB4E61" w:rsidR="006F0176" w:rsidRPr="002611FB" w:rsidRDefault="006F0176" w:rsidP="002611FB">
      <w:pPr>
        <w:numPr>
          <w:ilvl w:val="0"/>
          <w:numId w:val="26"/>
        </w:numPr>
        <w:spacing w:after="0" w:line="276" w:lineRule="auto"/>
        <w:jc w:val="both"/>
        <w:rPr>
          <w:rFonts w:eastAsia="SimSun"/>
          <w:szCs w:val="22"/>
          <w:lang w:val="en-US" w:eastAsia="x-none"/>
        </w:rPr>
      </w:pPr>
      <w:r>
        <w:rPr>
          <w:rFonts w:eastAsia="SimSun"/>
          <w:bCs/>
          <w:szCs w:val="22"/>
          <w:lang w:val="en-US" w:eastAsia="x-none"/>
        </w:rPr>
        <w:t>Alt5: preconfigured/pre-indicated multiple opportunities in time domain</w:t>
      </w:r>
    </w:p>
    <w:p w14:paraId="628E888D" w14:textId="77777777" w:rsidR="002611FB" w:rsidRDefault="002611FB" w:rsidP="002611FB">
      <w:pPr>
        <w:rPr>
          <w:lang w:val="en-US"/>
        </w:rPr>
      </w:pPr>
    </w:p>
    <w:p w14:paraId="570295A4" w14:textId="711FA97E" w:rsidR="002611FB" w:rsidRDefault="004C5C67" w:rsidP="002611FB">
      <w:pPr>
        <w:rPr>
          <w:lang w:val="en-US"/>
        </w:rPr>
      </w:pPr>
      <w:r>
        <w:rPr>
          <w:lang w:val="en-US"/>
        </w:rPr>
        <w:t xml:space="preserve">For alt 1, the </w:t>
      </w:r>
      <w:proofErr w:type="spellStart"/>
      <w:r>
        <w:rPr>
          <w:lang w:val="en-US"/>
        </w:rPr>
        <w:t>gNB</w:t>
      </w:r>
      <w:proofErr w:type="spellEnd"/>
      <w:r>
        <w:rPr>
          <w:lang w:val="en-US"/>
        </w:rPr>
        <w:t xml:space="preserve"> would trigger the UE to report the feedback(s) in the later COT(s). </w:t>
      </w:r>
      <w:r w:rsidR="00FB642D">
        <w:rPr>
          <w:lang w:val="en-US"/>
        </w:rPr>
        <w:t xml:space="preserve">Both the way </w:t>
      </w:r>
      <w:r w:rsidR="009B0823">
        <w:rPr>
          <w:lang w:val="en-US"/>
        </w:rPr>
        <w:t xml:space="preserve">with and </w:t>
      </w:r>
      <w:r w:rsidR="00FB642D">
        <w:rPr>
          <w:lang w:val="en-US"/>
        </w:rPr>
        <w:t xml:space="preserve">without explicit signaling of HARQ process ID were discussed. </w:t>
      </w:r>
      <w:r>
        <w:rPr>
          <w:lang w:val="en-US"/>
        </w:rPr>
        <w:t>For alt 2</w:t>
      </w:r>
      <w:r w:rsidR="0007176F">
        <w:rPr>
          <w:lang w:val="en-US"/>
        </w:rPr>
        <w:t>, 4 and 5</w:t>
      </w:r>
      <w:r>
        <w:rPr>
          <w:lang w:val="en-US"/>
        </w:rPr>
        <w:t>, HARQ</w:t>
      </w:r>
      <w:r w:rsidR="00B9718D">
        <w:rPr>
          <w:lang w:val="en-US"/>
        </w:rPr>
        <w:t>-ACK</w:t>
      </w:r>
      <w:r>
        <w:rPr>
          <w:lang w:val="en-US"/>
        </w:rPr>
        <w:t xml:space="preserve"> feedback from earlier COT(s) </w:t>
      </w:r>
      <w:r w:rsidR="00686D90">
        <w:rPr>
          <w:lang w:val="en-US"/>
        </w:rPr>
        <w:t>would be transmitted by predefined rules.</w:t>
      </w:r>
      <w:r w:rsidR="00385224">
        <w:rPr>
          <w:lang w:val="en-US"/>
        </w:rPr>
        <w:t xml:space="preserve"> The benefit for </w:t>
      </w:r>
      <w:r w:rsidR="0065104A">
        <w:rPr>
          <w:lang w:val="en-US"/>
        </w:rPr>
        <w:t xml:space="preserve">these </w:t>
      </w:r>
      <w:r w:rsidR="00385224">
        <w:rPr>
          <w:lang w:val="en-US"/>
        </w:rPr>
        <w:t>alternative</w:t>
      </w:r>
      <w:r w:rsidR="0065104A">
        <w:rPr>
          <w:rFonts w:hint="eastAsia"/>
          <w:lang w:val="en-US" w:eastAsia="ja-JP"/>
        </w:rPr>
        <w:t>s</w:t>
      </w:r>
      <w:r w:rsidR="00385224">
        <w:rPr>
          <w:lang w:val="en-US"/>
        </w:rPr>
        <w:t xml:space="preserve"> is it could save the resource for signaling, however, it </w:t>
      </w:r>
      <w:r w:rsidR="00F266DF">
        <w:rPr>
          <w:lang w:val="en-US"/>
        </w:rPr>
        <w:t xml:space="preserve">mandates UE to always report HARQ-ACK thus lack of some flexibility based on </w:t>
      </w:r>
      <w:proofErr w:type="spellStart"/>
      <w:r w:rsidR="00F266DF">
        <w:rPr>
          <w:lang w:val="en-US"/>
        </w:rPr>
        <w:t>gNB’s</w:t>
      </w:r>
      <w:proofErr w:type="spellEnd"/>
      <w:r w:rsidR="00F266DF">
        <w:rPr>
          <w:lang w:val="en-US"/>
        </w:rPr>
        <w:t xml:space="preserve"> control. </w:t>
      </w:r>
      <w:r w:rsidR="00D50AC3">
        <w:rPr>
          <w:lang w:val="en-US"/>
        </w:rPr>
        <w:t xml:space="preserve">In addition, configured resources could not always be used by other </w:t>
      </w:r>
      <w:proofErr w:type="spellStart"/>
      <w:r w:rsidR="00D50AC3">
        <w:rPr>
          <w:lang w:val="en-US"/>
        </w:rPr>
        <w:t>gNBs</w:t>
      </w:r>
      <w:proofErr w:type="spellEnd"/>
      <w:r w:rsidR="00D50AC3">
        <w:rPr>
          <w:lang w:val="en-US"/>
        </w:rPr>
        <w:t xml:space="preserve">/UEs/Wi-Fi devices. </w:t>
      </w:r>
      <w:r w:rsidR="007266DB">
        <w:rPr>
          <w:lang w:val="en-US"/>
        </w:rPr>
        <w:t>It leads unfairness of resource allocation among them</w:t>
      </w:r>
      <w:r w:rsidR="000B42FD">
        <w:rPr>
          <w:lang w:val="en-US"/>
        </w:rPr>
        <w:t xml:space="preserve">. Thus, it </w:t>
      </w:r>
      <w:r w:rsidR="009B0823">
        <w:rPr>
          <w:lang w:val="en-US"/>
        </w:rPr>
        <w:t>would</w:t>
      </w:r>
      <w:r w:rsidR="000B42FD">
        <w:rPr>
          <w:lang w:val="en-US"/>
        </w:rPr>
        <w:t xml:space="preserve"> be better to avoid </w:t>
      </w:r>
      <w:r w:rsidR="0065104A">
        <w:rPr>
          <w:lang w:val="en-US"/>
        </w:rPr>
        <w:t xml:space="preserve">these </w:t>
      </w:r>
      <w:r w:rsidR="000B42FD">
        <w:rPr>
          <w:lang w:val="en-US"/>
        </w:rPr>
        <w:t>alternative</w:t>
      </w:r>
      <w:r w:rsidR="0065104A">
        <w:rPr>
          <w:lang w:val="en-US"/>
        </w:rPr>
        <w:t>s</w:t>
      </w:r>
      <w:r w:rsidR="000B42FD">
        <w:rPr>
          <w:lang w:val="en-US"/>
        </w:rPr>
        <w:t xml:space="preserve">. </w:t>
      </w:r>
      <w:r w:rsidR="00245C67">
        <w:rPr>
          <w:lang w:val="en-US"/>
        </w:rPr>
        <w:t xml:space="preserve">For alt 3, the </w:t>
      </w:r>
      <w:proofErr w:type="spellStart"/>
      <w:r w:rsidR="00245C67">
        <w:rPr>
          <w:lang w:val="en-US"/>
        </w:rPr>
        <w:t>gNB</w:t>
      </w:r>
      <w:proofErr w:type="spellEnd"/>
      <w:r w:rsidR="00245C67">
        <w:rPr>
          <w:lang w:val="en-US"/>
        </w:rPr>
        <w:t xml:space="preserve"> indi</w:t>
      </w:r>
      <w:r w:rsidR="00967A58">
        <w:rPr>
          <w:lang w:val="en-US"/>
        </w:rPr>
        <w:t xml:space="preserve">cates whether HARQ-ACK feedback should be transmitted in the current COT or a later COT to UE by PDSCH-to-HARQ-timing-indicator in the DCI. </w:t>
      </w:r>
      <w:r w:rsidR="0043504D">
        <w:rPr>
          <w:lang w:val="en-US"/>
        </w:rPr>
        <w:t>I</w:t>
      </w:r>
      <w:r w:rsidR="002611FB">
        <w:rPr>
          <w:lang w:val="en-US"/>
        </w:rPr>
        <w:t>n this alternative, whether UE transmit HARQ feedback or not in the indicated COT depends on LBT outcome</w:t>
      </w:r>
      <w:r w:rsidR="00E11148">
        <w:rPr>
          <w:lang w:val="en-US"/>
        </w:rPr>
        <w:t>. Therefore, more predictable scheduling is possible. The overhead caused by the DCI can be mitigated by the DCI is sent via group-common manner.</w:t>
      </w:r>
    </w:p>
    <w:p w14:paraId="66B63704" w14:textId="039D083D" w:rsidR="00495309" w:rsidRDefault="00495309" w:rsidP="002611FB">
      <w:pPr>
        <w:rPr>
          <w:lang w:val="en-US"/>
        </w:rPr>
      </w:pPr>
      <w:r>
        <w:rPr>
          <w:lang w:val="en-US"/>
        </w:rPr>
        <w:t>In RAN1 AH1901 in Taipei, it was agreed to support alt1 as follows:</w:t>
      </w:r>
    </w:p>
    <w:tbl>
      <w:tblPr>
        <w:tblStyle w:val="af9"/>
        <w:tblW w:w="0" w:type="auto"/>
        <w:tblLook w:val="04A0" w:firstRow="1" w:lastRow="0" w:firstColumn="1" w:lastColumn="0" w:noHBand="0" w:noVBand="1"/>
      </w:tblPr>
      <w:tblGrid>
        <w:gridCol w:w="9630"/>
      </w:tblGrid>
      <w:tr w:rsidR="00495309" w14:paraId="2DBD6616" w14:textId="77777777" w:rsidTr="00495309">
        <w:tc>
          <w:tcPr>
            <w:tcW w:w="9630" w:type="dxa"/>
          </w:tcPr>
          <w:p w14:paraId="0D29A5CC" w14:textId="77777777" w:rsidR="00495309" w:rsidRPr="00495309" w:rsidRDefault="00495309" w:rsidP="00495309">
            <w:pPr>
              <w:spacing w:after="0"/>
              <w:rPr>
                <w:rFonts w:ascii="Times" w:eastAsia="Batang" w:hAnsi="Times" w:cs="Times"/>
                <w:lang w:eastAsia="x-none"/>
              </w:rPr>
            </w:pPr>
            <w:r w:rsidRPr="00495309">
              <w:rPr>
                <w:rFonts w:ascii="Times" w:eastAsia="Batang" w:hAnsi="Times" w:cs="Times"/>
                <w:highlight w:val="green"/>
                <w:lang w:eastAsia="x-none"/>
              </w:rPr>
              <w:lastRenderedPageBreak/>
              <w:t>Agreement:</w:t>
            </w:r>
          </w:p>
          <w:p w14:paraId="11CA4114" w14:textId="77777777" w:rsidR="00495309" w:rsidRPr="00495309" w:rsidRDefault="00495309" w:rsidP="00495309">
            <w:pPr>
              <w:spacing w:after="0"/>
              <w:rPr>
                <w:rFonts w:ascii="Times" w:eastAsia="Batang" w:hAnsi="Times" w:cs="Times"/>
                <w:lang w:eastAsia="x-none"/>
              </w:rPr>
            </w:pPr>
            <w:r w:rsidRPr="00495309">
              <w:rPr>
                <w:rFonts w:ascii="Times" w:eastAsia="Batang" w:hAnsi="Times" w:cs="Times"/>
                <w:lang w:eastAsia="x-none"/>
              </w:rPr>
              <w:t>For enabling multiple opportunities for HARQ A/N transmission and for cross-COT HARQ-ACK feedback, at least the following is supported:</w:t>
            </w:r>
          </w:p>
          <w:p w14:paraId="5AEF3F62" w14:textId="77777777" w:rsidR="00495309" w:rsidRDefault="00495309" w:rsidP="00F42024">
            <w:pPr>
              <w:spacing w:after="0"/>
              <w:rPr>
                <w:rFonts w:ascii="Times" w:eastAsia="Batang" w:hAnsi="Times" w:cs="Times"/>
                <w:lang w:eastAsia="x-none"/>
              </w:rPr>
            </w:pPr>
            <w:proofErr w:type="spellStart"/>
            <w:r w:rsidRPr="00495309">
              <w:rPr>
                <w:rFonts w:ascii="Times" w:eastAsia="Batang" w:hAnsi="Times" w:cs="Times"/>
                <w:lang w:eastAsia="x-none"/>
              </w:rPr>
              <w:t>gNB</w:t>
            </w:r>
            <w:proofErr w:type="spellEnd"/>
            <w:r w:rsidRPr="00495309">
              <w:rPr>
                <w:rFonts w:ascii="Times" w:eastAsia="Batang" w:hAnsi="Times" w:cs="Times"/>
                <w:lang w:eastAsia="x-none"/>
              </w:rPr>
              <w:t xml:space="preserve"> requests/triggers feedback for PDSCH from earlier COT(s) or additional reporting of earlier HARQ feedback, where the exact HARQ feedback timing and resource is provided to the UE in another DCI (in the same or in another COT)</w:t>
            </w:r>
          </w:p>
          <w:p w14:paraId="4F91F6FF" w14:textId="705729E6" w:rsidR="00495309" w:rsidRPr="00F42024" w:rsidRDefault="00495309" w:rsidP="00F42024">
            <w:pPr>
              <w:spacing w:after="0"/>
              <w:rPr>
                <w:rFonts w:ascii="Times" w:eastAsia="Batang" w:hAnsi="Times" w:cs="Times"/>
                <w:lang w:eastAsia="x-none"/>
              </w:rPr>
            </w:pPr>
          </w:p>
        </w:tc>
      </w:tr>
    </w:tbl>
    <w:p w14:paraId="64C7C31E" w14:textId="2D38A3BA" w:rsidR="00495309" w:rsidRDefault="00495309" w:rsidP="00495309">
      <w:pPr>
        <w:rPr>
          <w:lang w:val="en-US" w:eastAsia="ja-JP"/>
        </w:rPr>
      </w:pPr>
    </w:p>
    <w:p w14:paraId="1D873CDA" w14:textId="1D907585" w:rsidR="00495309" w:rsidRDefault="00495309" w:rsidP="002611FB">
      <w:pPr>
        <w:rPr>
          <w:lang w:val="en-US"/>
        </w:rPr>
      </w:pPr>
      <w:r>
        <w:rPr>
          <w:rFonts w:hint="eastAsia"/>
          <w:lang w:val="en-US" w:eastAsia="ja-JP"/>
        </w:rPr>
        <w:t>F</w:t>
      </w:r>
      <w:r>
        <w:rPr>
          <w:lang w:val="en-US" w:eastAsia="ja-JP"/>
        </w:rPr>
        <w:t xml:space="preserve">or alt1, we would consider two options: one is to indicate HARQ process IDs or HARQ process grouping IDs as a trigger and the other is to indicate other than HARQ process ID related information. For the indication of HARQ process IDs, 16 bits could be needed because 16 HARQ processes are provided in Rel.15 NR. </w:t>
      </w:r>
      <w:r w:rsidR="00F46A7C">
        <w:rPr>
          <w:lang w:val="en-US" w:eastAsia="ja-JP"/>
        </w:rPr>
        <w:t>Since it can cause larger DCI overhead, we would propose to avoid indicating HARQ process IDs. For HARQ process grouping, it was considered that a certain single bit corresponds the indication of A/Ns for multiple HARQ processes. Compared with just to indicate HARQ process IDs, it could reduce DCI overhead. However, it could also cause unnecessary HARQ-ACK feedback because one bit corresponds to multiple HARQ process IDs. Then to indicate other than HARQ process ID related information (e.g. PDSCH grouping ID) could be better as a trigger in our view.</w:t>
      </w:r>
    </w:p>
    <w:p w14:paraId="7F04C68E" w14:textId="31409D15" w:rsidR="0007176F" w:rsidRDefault="0007176F" w:rsidP="002611FB">
      <w:pPr>
        <w:rPr>
          <w:lang w:val="en-US"/>
        </w:rPr>
      </w:pPr>
      <w:r>
        <w:rPr>
          <w:lang w:val="en-US"/>
        </w:rPr>
        <w:t xml:space="preserve">Although dynamically triggered method and pre-configured method are clearly separated on the above </w:t>
      </w:r>
      <w:r w:rsidR="0009145E">
        <w:rPr>
          <w:lang w:val="en-US"/>
        </w:rPr>
        <w:t>alternatives</w:t>
      </w:r>
      <w:r>
        <w:rPr>
          <w:lang w:val="en-US"/>
        </w:rPr>
        <w:t xml:space="preserve">, a combination between dynamically triggered and pre-configured could be beneficial. In dynamic way, </w:t>
      </w:r>
      <w:r w:rsidR="006900E3">
        <w:rPr>
          <w:lang w:val="en-US"/>
        </w:rPr>
        <w:t>additional HARQ-ACK feedback opportunities could be triggered dynamically but DCI overhead could be increased depending on what is indicated by the trigger. In pre-configured way, DCI overhead would not be increased but could cause unfairness of resource allocation with other devices</w:t>
      </w:r>
      <w:r w:rsidR="00F77ED8">
        <w:rPr>
          <w:lang w:val="en-US"/>
        </w:rPr>
        <w:t xml:space="preserve">. </w:t>
      </w:r>
    </w:p>
    <w:p w14:paraId="213F26C8" w14:textId="0FCFFC83" w:rsidR="002611FB" w:rsidRPr="002611FB" w:rsidRDefault="002611FB" w:rsidP="002611FB">
      <w:pPr>
        <w:rPr>
          <w:lang w:val="en-US" w:eastAsia="ja-JP"/>
        </w:rPr>
      </w:pPr>
      <w:r>
        <w:rPr>
          <w:lang w:val="en-US" w:eastAsia="ja-JP"/>
        </w:rPr>
        <w:t>B</w:t>
      </w:r>
      <w:r>
        <w:rPr>
          <w:rFonts w:hint="eastAsia"/>
          <w:lang w:val="en-US" w:eastAsia="ja-JP"/>
        </w:rPr>
        <w:t>as</w:t>
      </w:r>
      <w:r>
        <w:rPr>
          <w:lang w:val="en-US" w:eastAsia="ja-JP"/>
        </w:rPr>
        <w:t>ed on above, we would propose as follows:</w:t>
      </w:r>
    </w:p>
    <w:p w14:paraId="06C13E67" w14:textId="754CAEFF" w:rsidR="00385224" w:rsidRDefault="00385224" w:rsidP="00F22D3F">
      <w:pPr>
        <w:rPr>
          <w:b/>
          <w:i/>
          <w:lang w:val="en-US" w:eastAsia="ja-JP"/>
        </w:rPr>
      </w:pPr>
      <w:r w:rsidRPr="002611FB">
        <w:rPr>
          <w:b/>
          <w:i/>
          <w:lang w:val="en-US" w:eastAsia="ja-JP"/>
        </w:rPr>
        <w:t>Proposal</w:t>
      </w:r>
      <w:r w:rsidR="00542CB0">
        <w:rPr>
          <w:b/>
          <w:i/>
          <w:lang w:val="en-US" w:eastAsia="ja-JP"/>
        </w:rPr>
        <w:t xml:space="preserve"> 1</w:t>
      </w:r>
      <w:r w:rsidRPr="002611FB">
        <w:rPr>
          <w:b/>
          <w:i/>
          <w:lang w:val="en-US" w:eastAsia="ja-JP"/>
        </w:rPr>
        <w:t xml:space="preserve">: </w:t>
      </w:r>
      <w:r w:rsidR="000B42FD" w:rsidRPr="002611FB">
        <w:rPr>
          <w:b/>
          <w:i/>
          <w:lang w:val="en-US" w:eastAsia="ja-JP"/>
        </w:rPr>
        <w:t xml:space="preserve">To request/trigger HARQ feedback from earlier COT(s) </w:t>
      </w:r>
      <w:r w:rsidR="002611FB">
        <w:rPr>
          <w:b/>
          <w:i/>
          <w:lang w:val="en-US" w:eastAsia="ja-JP"/>
        </w:rPr>
        <w:t>should be supported</w:t>
      </w:r>
      <w:r w:rsidR="000B42FD" w:rsidRPr="002611FB">
        <w:rPr>
          <w:b/>
          <w:i/>
          <w:lang w:val="en-US" w:eastAsia="ja-JP"/>
        </w:rPr>
        <w:t xml:space="preserve">. </w:t>
      </w:r>
    </w:p>
    <w:p w14:paraId="19E272D6" w14:textId="49F92EB5" w:rsidR="00776945" w:rsidRDefault="009C201A" w:rsidP="0011070C">
      <w:pPr>
        <w:pStyle w:val="aff1"/>
        <w:numPr>
          <w:ilvl w:val="0"/>
          <w:numId w:val="31"/>
        </w:numPr>
        <w:ind w:leftChars="0"/>
        <w:rPr>
          <w:b/>
          <w:i/>
          <w:lang w:val="en-US" w:eastAsia="ja-JP"/>
        </w:rPr>
      </w:pPr>
      <w:r>
        <w:rPr>
          <w:b/>
          <w:i/>
          <w:lang w:val="en-US" w:eastAsia="ja-JP"/>
        </w:rPr>
        <w:t>The request/trigger should be contained within the requested/triggered COT.</w:t>
      </w:r>
    </w:p>
    <w:p w14:paraId="7781A2DA" w14:textId="26A07825" w:rsidR="00F46A7C" w:rsidRDefault="00F46A7C" w:rsidP="0011070C">
      <w:pPr>
        <w:pStyle w:val="aff1"/>
        <w:numPr>
          <w:ilvl w:val="0"/>
          <w:numId w:val="31"/>
        </w:numPr>
        <w:ind w:leftChars="0"/>
        <w:rPr>
          <w:b/>
          <w:i/>
          <w:lang w:val="en-US" w:eastAsia="ja-JP"/>
        </w:rPr>
      </w:pPr>
      <w:r>
        <w:rPr>
          <w:b/>
          <w:i/>
          <w:lang w:val="en-US" w:eastAsia="ja-JP"/>
        </w:rPr>
        <w:t>As a trigger, to indicate other than HARQ process related information could be better</w:t>
      </w:r>
      <w:r w:rsidR="000F4F71">
        <w:rPr>
          <w:b/>
          <w:i/>
          <w:lang w:val="en-US" w:eastAsia="ja-JP"/>
        </w:rPr>
        <w:t xml:space="preserve"> (e.g. PDSCH grouping ID)</w:t>
      </w:r>
    </w:p>
    <w:p w14:paraId="2359233F" w14:textId="16D7052D" w:rsidR="0007176F" w:rsidRPr="0011070C" w:rsidRDefault="0007176F" w:rsidP="0011070C">
      <w:pPr>
        <w:pStyle w:val="aff1"/>
        <w:numPr>
          <w:ilvl w:val="0"/>
          <w:numId w:val="31"/>
        </w:numPr>
        <w:ind w:leftChars="0"/>
        <w:rPr>
          <w:b/>
          <w:i/>
          <w:lang w:val="en-US" w:eastAsia="ja-JP"/>
        </w:rPr>
      </w:pPr>
      <w:r>
        <w:rPr>
          <w:b/>
          <w:i/>
          <w:lang w:val="en-US" w:eastAsia="ja-JP"/>
        </w:rPr>
        <w:t xml:space="preserve">To lower DCI overhead, the combination between pre-configured resource and dynamic trigger </w:t>
      </w:r>
      <w:r w:rsidR="0009145E">
        <w:rPr>
          <w:b/>
          <w:i/>
          <w:lang w:val="en-US" w:eastAsia="ja-JP"/>
        </w:rPr>
        <w:t>should be used</w:t>
      </w:r>
      <w:r>
        <w:rPr>
          <w:b/>
          <w:i/>
          <w:lang w:val="en-US" w:eastAsia="ja-JP"/>
        </w:rPr>
        <w:t>.</w:t>
      </w:r>
    </w:p>
    <w:p w14:paraId="02FFA79B" w14:textId="77777777" w:rsidR="00347F65" w:rsidRPr="00967A58" w:rsidRDefault="00347F65" w:rsidP="00F22D3F">
      <w:pPr>
        <w:rPr>
          <w:lang w:eastAsia="ja-JP"/>
        </w:rPr>
      </w:pPr>
    </w:p>
    <w:p w14:paraId="2C991706" w14:textId="38B26EA3" w:rsidR="00F22D3F" w:rsidRPr="00245C67" w:rsidRDefault="00F22D3F" w:rsidP="00245C67">
      <w:pPr>
        <w:rPr>
          <w:b/>
          <w:u w:val="single"/>
          <w:lang w:val="en-US" w:eastAsia="ja-JP"/>
        </w:rPr>
      </w:pPr>
      <w:r w:rsidRPr="00245C67">
        <w:rPr>
          <w:rFonts w:hint="eastAsia"/>
          <w:b/>
          <w:u w:val="single"/>
          <w:lang w:val="en-US" w:eastAsia="ja-JP"/>
        </w:rPr>
        <w:t>HARQ codebook size determination</w:t>
      </w:r>
    </w:p>
    <w:p w14:paraId="7164113B" w14:textId="3E3E244B" w:rsidR="00F32413" w:rsidRDefault="00666EF3" w:rsidP="00F22D3F">
      <w:pPr>
        <w:rPr>
          <w:lang w:val="en-US" w:eastAsia="ja-JP"/>
        </w:rPr>
      </w:pPr>
      <w:r>
        <w:rPr>
          <w:lang w:val="en-US" w:eastAsia="ja-JP"/>
        </w:rPr>
        <w:t>I</w:t>
      </w:r>
      <w:r>
        <w:rPr>
          <w:rFonts w:hint="eastAsia"/>
          <w:lang w:val="en-US" w:eastAsia="ja-JP"/>
        </w:rPr>
        <w:t xml:space="preserve">n </w:t>
      </w:r>
      <w:r w:rsidR="000B763B">
        <w:rPr>
          <w:lang w:val="en-US" w:eastAsia="ja-JP"/>
        </w:rPr>
        <w:t xml:space="preserve">licensed band </w:t>
      </w:r>
      <w:r>
        <w:rPr>
          <w:lang w:val="en-US" w:eastAsia="ja-JP"/>
        </w:rPr>
        <w:t xml:space="preserve">NR, two types of HARQ codebook size </w:t>
      </w:r>
      <w:r w:rsidR="000B763B">
        <w:rPr>
          <w:lang w:val="en-US" w:eastAsia="ja-JP"/>
        </w:rPr>
        <w:t xml:space="preserve">determination </w:t>
      </w:r>
      <w:r>
        <w:rPr>
          <w:lang w:val="en-US" w:eastAsia="ja-JP"/>
        </w:rPr>
        <w:t xml:space="preserve">are supported: semi-static and dynamic. For semi-static codebook size determination, </w:t>
      </w:r>
      <w:r w:rsidR="004654DE">
        <w:rPr>
          <w:lang w:val="en-US" w:eastAsia="ja-JP"/>
        </w:rPr>
        <w:t>the codebook size is determined based on the maximum number of TBs</w:t>
      </w:r>
      <w:r w:rsidR="00EE375A">
        <w:rPr>
          <w:lang w:val="en-US" w:eastAsia="ja-JP"/>
        </w:rPr>
        <w:t xml:space="preserve"> (and CBGs)</w:t>
      </w:r>
      <w:r w:rsidR="004654DE">
        <w:rPr>
          <w:lang w:val="en-US" w:eastAsia="ja-JP"/>
        </w:rPr>
        <w:t xml:space="preserve"> across cells and PDCCH monitoring occasions in time. </w:t>
      </w:r>
      <w:r w:rsidR="006A4AD2">
        <w:rPr>
          <w:lang w:val="en-US" w:eastAsia="ja-JP"/>
        </w:rPr>
        <w:t>M</w:t>
      </w:r>
      <w:r w:rsidR="004654DE">
        <w:rPr>
          <w:lang w:val="en-US" w:eastAsia="ja-JP"/>
        </w:rPr>
        <w:t xml:space="preserve">ore bits for the feedback would be needed. </w:t>
      </w:r>
      <w:r w:rsidR="006A4AD2">
        <w:rPr>
          <w:lang w:val="en-US" w:eastAsia="ja-JP"/>
        </w:rPr>
        <w:t>How to determine "PDCCH monitoring occasions in time" needs to be discussed on the relation to COT. F</w:t>
      </w:r>
      <w:r w:rsidR="004654DE">
        <w:rPr>
          <w:lang w:val="en-US" w:eastAsia="ja-JP"/>
        </w:rPr>
        <w:t xml:space="preserve">or dynamic codebook size determination, </w:t>
      </w:r>
      <w:r w:rsidR="00F32413">
        <w:rPr>
          <w:lang w:val="en-US" w:eastAsia="ja-JP"/>
        </w:rPr>
        <w:t>the codebook size is determined based on the actual number of received DCIs pointing to the same ACK slot. This needs less bits for the feedback than semi-static one</w:t>
      </w:r>
      <w:r w:rsidR="000B763B">
        <w:rPr>
          <w:lang w:val="en-US" w:eastAsia="ja-JP"/>
        </w:rPr>
        <w:t xml:space="preserve"> and more aligned of the </w:t>
      </w:r>
      <w:r w:rsidR="00F32413">
        <w:rPr>
          <w:lang w:val="en-US" w:eastAsia="ja-JP"/>
        </w:rPr>
        <w:t>codebook size</w:t>
      </w:r>
      <w:r w:rsidR="000B763B">
        <w:rPr>
          <w:lang w:val="en-US" w:eastAsia="ja-JP"/>
        </w:rPr>
        <w:t xml:space="preserve"> understanding</w:t>
      </w:r>
      <w:r w:rsidR="00F32413">
        <w:rPr>
          <w:lang w:val="en-US" w:eastAsia="ja-JP"/>
        </w:rPr>
        <w:t xml:space="preserve"> between </w:t>
      </w:r>
      <w:proofErr w:type="spellStart"/>
      <w:r w:rsidR="00F32413">
        <w:rPr>
          <w:lang w:val="en-US" w:eastAsia="ja-JP"/>
        </w:rPr>
        <w:t>gNB</w:t>
      </w:r>
      <w:proofErr w:type="spellEnd"/>
      <w:r w:rsidR="00F32413">
        <w:rPr>
          <w:lang w:val="en-US" w:eastAsia="ja-JP"/>
        </w:rPr>
        <w:t xml:space="preserve"> and UE</w:t>
      </w:r>
      <w:r w:rsidR="000B763B">
        <w:rPr>
          <w:lang w:val="en-US" w:eastAsia="ja-JP"/>
        </w:rPr>
        <w:t xml:space="preserve"> by the signaling in DCI</w:t>
      </w:r>
      <w:r w:rsidR="00F32413">
        <w:rPr>
          <w:lang w:val="en-US" w:eastAsia="ja-JP"/>
        </w:rPr>
        <w:t>.</w:t>
      </w:r>
      <w:r w:rsidR="000329CE">
        <w:rPr>
          <w:lang w:val="en-US" w:eastAsia="ja-JP"/>
        </w:rPr>
        <w:t xml:space="preserve"> </w:t>
      </w:r>
      <w:r w:rsidR="00EE375A" w:rsidRPr="00EE375A">
        <w:rPr>
          <w:lang w:val="en-US" w:eastAsia="ja-JP"/>
        </w:rPr>
        <w:t xml:space="preserve">DCI payload size increase by DAI is based on log(n) order but HARQ-ACK bits increase is based on </w:t>
      </w:r>
      <w:proofErr w:type="spellStart"/>
      <w:r w:rsidR="00047FE6">
        <w:rPr>
          <w:lang w:val="en-US" w:eastAsia="ja-JP"/>
        </w:rPr>
        <w:t>n</w:t>
      </w:r>
      <w:proofErr w:type="spellEnd"/>
      <w:r w:rsidR="00EE375A" w:rsidRPr="00EE375A">
        <w:rPr>
          <w:lang w:val="en-US" w:eastAsia="ja-JP"/>
        </w:rPr>
        <w:t xml:space="preserve"> order</w:t>
      </w:r>
      <w:r w:rsidR="00EE375A">
        <w:rPr>
          <w:lang w:val="en-US" w:eastAsia="ja-JP"/>
        </w:rPr>
        <w:t xml:space="preserve"> of actual transmission. Therefore, the signa</w:t>
      </w:r>
      <w:r w:rsidR="00EE375A" w:rsidRPr="00EE375A">
        <w:rPr>
          <w:lang w:val="en-US" w:eastAsia="ja-JP"/>
        </w:rPr>
        <w:t>ling overhead b</w:t>
      </w:r>
      <w:r w:rsidR="00EE375A">
        <w:rPr>
          <w:lang w:val="en-US" w:eastAsia="ja-JP"/>
        </w:rPr>
        <w:t>y DAI is smaller than the signa</w:t>
      </w:r>
      <w:r w:rsidR="00EE375A" w:rsidRPr="00EE375A">
        <w:rPr>
          <w:lang w:val="en-US" w:eastAsia="ja-JP"/>
        </w:rPr>
        <w:t>ling overhead by linear increase of HARQ-ACK bits</w:t>
      </w:r>
      <w:r w:rsidR="00DC621D">
        <w:rPr>
          <w:lang w:val="en-US" w:eastAsia="ja-JP"/>
        </w:rPr>
        <w:t>[</w:t>
      </w:r>
      <w:r w:rsidR="00E30C58">
        <w:rPr>
          <w:lang w:val="en-US" w:eastAsia="ja-JP"/>
        </w:rPr>
        <w:t>2</w:t>
      </w:r>
      <w:r w:rsidR="00DC621D">
        <w:rPr>
          <w:lang w:val="en-US" w:eastAsia="ja-JP"/>
        </w:rPr>
        <w:t>]</w:t>
      </w:r>
      <w:r w:rsidR="00EE375A" w:rsidRPr="00EE375A">
        <w:rPr>
          <w:lang w:val="en-US" w:eastAsia="ja-JP"/>
        </w:rPr>
        <w:t xml:space="preserve">. </w:t>
      </w:r>
      <w:r w:rsidR="000B763B">
        <w:rPr>
          <w:lang w:val="en-US" w:eastAsia="ja-JP"/>
        </w:rPr>
        <w:t>Note that DAI should reflect the outcome of LBT as NR-U transmission is influenced by LBT outcome.</w:t>
      </w:r>
    </w:p>
    <w:p w14:paraId="7159F8BD" w14:textId="2236D7C8" w:rsidR="00222D42" w:rsidRDefault="00222D42" w:rsidP="00222D42">
      <w:pPr>
        <w:rPr>
          <w:b/>
          <w:i/>
          <w:lang w:val="en-US" w:eastAsia="ja-JP"/>
        </w:rPr>
      </w:pPr>
      <w:r w:rsidRPr="002611FB">
        <w:rPr>
          <w:b/>
          <w:i/>
          <w:lang w:val="en-US" w:eastAsia="ja-JP"/>
        </w:rPr>
        <w:t>Proposal</w:t>
      </w:r>
      <w:r>
        <w:rPr>
          <w:b/>
          <w:i/>
          <w:lang w:val="en-US" w:eastAsia="ja-JP"/>
        </w:rPr>
        <w:t xml:space="preserve"> </w:t>
      </w:r>
      <w:r w:rsidR="00DF01CC">
        <w:rPr>
          <w:b/>
          <w:i/>
          <w:lang w:val="en-US" w:eastAsia="ja-JP"/>
        </w:rPr>
        <w:t>2</w:t>
      </w:r>
      <w:r w:rsidRPr="002611FB">
        <w:rPr>
          <w:b/>
          <w:i/>
          <w:lang w:val="en-US" w:eastAsia="ja-JP"/>
        </w:rPr>
        <w:t xml:space="preserve">: </w:t>
      </w:r>
      <w:r>
        <w:rPr>
          <w:b/>
          <w:i/>
          <w:lang w:val="en-US" w:eastAsia="ja-JP"/>
        </w:rPr>
        <w:t>At least dynamic codebook size determination should be supported</w:t>
      </w:r>
      <w:r w:rsidRPr="002611FB">
        <w:rPr>
          <w:b/>
          <w:i/>
          <w:lang w:val="en-US" w:eastAsia="ja-JP"/>
        </w:rPr>
        <w:t xml:space="preserve">. </w:t>
      </w:r>
    </w:p>
    <w:p w14:paraId="388F19D8" w14:textId="77777777" w:rsidR="00F5077B" w:rsidRPr="0086244D" w:rsidRDefault="00F5077B" w:rsidP="00245C67">
      <w:pPr>
        <w:rPr>
          <w:b/>
          <w:u w:val="single"/>
          <w:lang w:val="en-US" w:eastAsia="ja-JP"/>
        </w:rPr>
      </w:pPr>
    </w:p>
    <w:p w14:paraId="1A9A4700" w14:textId="64EFE234" w:rsidR="006C4A79" w:rsidRPr="00245C67" w:rsidRDefault="00752334" w:rsidP="00245C67">
      <w:pPr>
        <w:rPr>
          <w:b/>
          <w:u w:val="single"/>
          <w:lang w:val="en-US" w:eastAsia="ja-JP"/>
        </w:rPr>
      </w:pPr>
      <w:r w:rsidRPr="00245C67">
        <w:rPr>
          <w:b/>
          <w:u w:val="single"/>
          <w:lang w:val="en-US" w:eastAsia="ja-JP"/>
        </w:rPr>
        <w:t>M</w:t>
      </w:r>
      <w:r w:rsidRPr="00245C67">
        <w:rPr>
          <w:rFonts w:hint="eastAsia"/>
          <w:b/>
          <w:u w:val="single"/>
          <w:lang w:val="en-US" w:eastAsia="ja-JP"/>
        </w:rPr>
        <w:t xml:space="preserve">ultiple </w:t>
      </w:r>
      <w:r w:rsidRPr="00245C67">
        <w:rPr>
          <w:b/>
          <w:u w:val="single"/>
          <w:lang w:val="en-US" w:eastAsia="ja-JP"/>
        </w:rPr>
        <w:t>TTIs scheduling</w:t>
      </w:r>
    </w:p>
    <w:p w14:paraId="02439283" w14:textId="6054E74D" w:rsidR="003F6D49" w:rsidRDefault="00F77ED8" w:rsidP="00B31073">
      <w:pPr>
        <w:rPr>
          <w:lang w:eastAsia="ja-JP"/>
        </w:rPr>
      </w:pPr>
      <w:r>
        <w:rPr>
          <w:lang w:eastAsia="ja-JP"/>
        </w:rPr>
        <w:t>In RAN1#95, following options were discussed:</w:t>
      </w:r>
    </w:p>
    <w:p w14:paraId="61A8C3C7" w14:textId="77777777" w:rsidR="008F0BB6" w:rsidRPr="008F0BB6" w:rsidRDefault="008F0BB6" w:rsidP="008F0BB6">
      <w:pPr>
        <w:numPr>
          <w:ilvl w:val="0"/>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Scheme 1 (already agreed): for scheduling multiple TTIs for PUSCH using a single UL grant:</w:t>
      </w:r>
    </w:p>
    <w:p w14:paraId="226B8229" w14:textId="77777777" w:rsidR="008F0BB6" w:rsidRPr="008F0BB6" w:rsidRDefault="008F0BB6" w:rsidP="008F0BB6">
      <w:pPr>
        <w:numPr>
          <w:ilvl w:val="1"/>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Scheme 1a: same TB</w:t>
      </w:r>
    </w:p>
    <w:p w14:paraId="116D22B5" w14:textId="77777777" w:rsidR="008F0BB6" w:rsidRPr="008F0BB6" w:rsidRDefault="008F0BB6" w:rsidP="008F0BB6">
      <w:pPr>
        <w:numPr>
          <w:ilvl w:val="2"/>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One TB rate-matched across all TTIs</w:t>
      </w:r>
    </w:p>
    <w:p w14:paraId="22D93BFE" w14:textId="77777777" w:rsidR="008F0BB6" w:rsidRPr="008F0BB6" w:rsidRDefault="008F0BB6" w:rsidP="008F0BB6">
      <w:pPr>
        <w:numPr>
          <w:ilvl w:val="2"/>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Same TB with different RV in different TTIs (as in Rel-15 NR)</w:t>
      </w:r>
    </w:p>
    <w:p w14:paraId="02DF48A2" w14:textId="77777777" w:rsidR="008F0BB6" w:rsidRPr="008F0BB6" w:rsidRDefault="008F0BB6" w:rsidP="008F0BB6">
      <w:pPr>
        <w:numPr>
          <w:ilvl w:val="1"/>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lastRenderedPageBreak/>
        <w:t>Scheme 1b: different TBs</w:t>
      </w:r>
    </w:p>
    <w:p w14:paraId="4AF21BA9" w14:textId="77777777" w:rsidR="008F0BB6" w:rsidRPr="008F0BB6" w:rsidRDefault="008F0BB6" w:rsidP="008F0BB6">
      <w:pPr>
        <w:numPr>
          <w:ilvl w:val="0"/>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Scheme 2 (identified as beneficial): Scheduling multiple TTIs with different TBs for PUSCH using multiple UL grants in the same PDCCH monitoring occasion</w:t>
      </w:r>
    </w:p>
    <w:p w14:paraId="451BEDB3" w14:textId="77777777" w:rsidR="008F0BB6" w:rsidRPr="008F0BB6" w:rsidRDefault="008F0BB6" w:rsidP="008F0BB6">
      <w:pPr>
        <w:numPr>
          <w:ilvl w:val="0"/>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Scheme 3: for scheduling multiple TTIs for PDSCH using a single DL assignment</w:t>
      </w:r>
    </w:p>
    <w:p w14:paraId="5B7ACB8F" w14:textId="77777777" w:rsidR="008F0BB6" w:rsidRPr="008F0BB6" w:rsidRDefault="008F0BB6" w:rsidP="008F0BB6">
      <w:pPr>
        <w:numPr>
          <w:ilvl w:val="1"/>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Scheme 3a: same TB (supported in Rel-15)</w:t>
      </w:r>
    </w:p>
    <w:p w14:paraId="10E01D7F" w14:textId="77777777" w:rsidR="008F0BB6" w:rsidRPr="008F0BB6" w:rsidRDefault="008F0BB6" w:rsidP="008F0BB6">
      <w:pPr>
        <w:numPr>
          <w:ilvl w:val="1"/>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Scheme 3b: different TBs</w:t>
      </w:r>
    </w:p>
    <w:p w14:paraId="343A5CC0" w14:textId="00D83DE0" w:rsidR="00F77ED8" w:rsidRDefault="00F77ED8" w:rsidP="00B31073">
      <w:pPr>
        <w:rPr>
          <w:lang w:eastAsia="ja-JP"/>
        </w:rPr>
      </w:pPr>
    </w:p>
    <w:p w14:paraId="02CA585A" w14:textId="64B91626" w:rsidR="008F0BB6" w:rsidRDefault="008F0BB6" w:rsidP="00B31073">
      <w:pPr>
        <w:rPr>
          <w:lang w:eastAsia="ja-JP"/>
        </w:rPr>
      </w:pPr>
      <w:r>
        <w:rPr>
          <w:lang w:eastAsia="ja-JP"/>
        </w:rPr>
        <w:t xml:space="preserve">As mentioned in above, at least scheme 1b should be supported. It </w:t>
      </w:r>
      <w:r w:rsidR="005F47F5">
        <w:rPr>
          <w:lang w:eastAsia="ja-JP"/>
        </w:rPr>
        <w:t>can</w:t>
      </w:r>
      <w:r>
        <w:rPr>
          <w:lang w:eastAsia="ja-JP"/>
        </w:rPr>
        <w:t xml:space="preserve"> reduce the number of </w:t>
      </w:r>
      <w:r w:rsidR="005F47F5">
        <w:rPr>
          <w:lang w:eastAsia="ja-JP"/>
        </w:rPr>
        <w:t>PDCCH transmissions and the number of blind decoding of PDCCH can be reduced</w:t>
      </w:r>
      <w:r>
        <w:rPr>
          <w:lang w:eastAsia="ja-JP"/>
        </w:rPr>
        <w:t xml:space="preserve">. As the number of </w:t>
      </w:r>
      <w:r w:rsidR="005F47F5">
        <w:rPr>
          <w:lang w:eastAsia="ja-JP"/>
        </w:rPr>
        <w:t xml:space="preserve">blind </w:t>
      </w:r>
      <w:proofErr w:type="spellStart"/>
      <w:r w:rsidR="005F47F5">
        <w:rPr>
          <w:lang w:eastAsia="ja-JP"/>
        </w:rPr>
        <w:t>decodings</w:t>
      </w:r>
      <w:proofErr w:type="spellEnd"/>
      <w:r w:rsidR="005F47F5">
        <w:rPr>
          <w:lang w:eastAsia="ja-JP"/>
        </w:rPr>
        <w:t xml:space="preserve"> of PDCCH are </w:t>
      </w:r>
      <w:r>
        <w:rPr>
          <w:lang w:eastAsia="ja-JP"/>
        </w:rPr>
        <w:t xml:space="preserve">limited, </w:t>
      </w:r>
      <w:r w:rsidR="002C3270">
        <w:rPr>
          <w:lang w:eastAsia="ja-JP"/>
        </w:rPr>
        <w:t xml:space="preserve">the </w:t>
      </w:r>
      <w:r>
        <w:rPr>
          <w:lang w:eastAsia="ja-JP"/>
        </w:rPr>
        <w:t xml:space="preserve">efficient way to schedule different TBs </w:t>
      </w:r>
      <w:r w:rsidR="002C3270">
        <w:rPr>
          <w:lang w:eastAsia="ja-JP"/>
        </w:rPr>
        <w:t xml:space="preserve">like scheme 1b </w:t>
      </w:r>
      <w:r w:rsidR="005F47F5">
        <w:rPr>
          <w:lang w:eastAsia="ja-JP"/>
        </w:rPr>
        <w:t xml:space="preserve">is </w:t>
      </w:r>
      <w:r>
        <w:rPr>
          <w:lang w:eastAsia="ja-JP"/>
        </w:rPr>
        <w:t>beneficial.</w:t>
      </w:r>
    </w:p>
    <w:p w14:paraId="738C60E1" w14:textId="325DC45E" w:rsidR="008F0BB6" w:rsidRDefault="008F0BB6" w:rsidP="00B31073">
      <w:pPr>
        <w:rPr>
          <w:lang w:eastAsia="ja-JP"/>
        </w:rPr>
      </w:pPr>
      <w:r>
        <w:rPr>
          <w:lang w:eastAsia="ja-JP"/>
        </w:rPr>
        <w:t xml:space="preserve">For scheme 1a and 3a, </w:t>
      </w:r>
      <w:r w:rsidR="002C3270">
        <w:rPr>
          <w:lang w:eastAsia="ja-JP"/>
        </w:rPr>
        <w:t xml:space="preserve">they could be supported as no change from Rel.15 NR. On the other hand, it would not so essential as NR-U coverage might be limited. </w:t>
      </w:r>
    </w:p>
    <w:p w14:paraId="051E9A41" w14:textId="68F4756B" w:rsidR="00B31073" w:rsidRDefault="00B31073" w:rsidP="00B31073">
      <w:pPr>
        <w:rPr>
          <w:lang w:eastAsia="ja-JP"/>
        </w:rPr>
      </w:pPr>
      <w:r>
        <w:rPr>
          <w:lang w:eastAsia="ja-JP"/>
        </w:rPr>
        <w:t>From above discussion, we would propose the following:</w:t>
      </w:r>
    </w:p>
    <w:p w14:paraId="0549862E" w14:textId="63714DB2" w:rsidR="00B31073" w:rsidRPr="0075212B" w:rsidRDefault="00B31073" w:rsidP="00B31073">
      <w:pPr>
        <w:rPr>
          <w:b/>
          <w:i/>
          <w:lang w:eastAsia="ja-JP"/>
        </w:rPr>
      </w:pPr>
      <w:bookmarkStart w:id="1" w:name="_Hlk534795126"/>
      <w:r w:rsidRPr="00A45C3C">
        <w:rPr>
          <w:b/>
          <w:i/>
          <w:lang w:eastAsia="ja-JP"/>
        </w:rPr>
        <w:t>Proposal</w:t>
      </w:r>
      <w:r w:rsidR="00542CB0">
        <w:rPr>
          <w:b/>
          <w:i/>
          <w:lang w:eastAsia="ja-JP"/>
        </w:rPr>
        <w:t xml:space="preserve"> </w:t>
      </w:r>
      <w:r w:rsidR="00F42024">
        <w:rPr>
          <w:b/>
          <w:i/>
          <w:lang w:eastAsia="ja-JP"/>
        </w:rPr>
        <w:t>3</w:t>
      </w:r>
      <w:r w:rsidRPr="00A45C3C">
        <w:rPr>
          <w:b/>
          <w:i/>
          <w:lang w:eastAsia="ja-JP"/>
        </w:rPr>
        <w:t xml:space="preserve">: </w:t>
      </w:r>
      <w:r w:rsidR="002C3270">
        <w:rPr>
          <w:b/>
          <w:i/>
          <w:lang w:eastAsia="ja-JP"/>
        </w:rPr>
        <w:t>In NR-U, f</w:t>
      </w:r>
      <w:r w:rsidRPr="00A45C3C">
        <w:rPr>
          <w:b/>
          <w:i/>
          <w:lang w:eastAsia="ja-JP"/>
        </w:rPr>
        <w:t>or scheduling multiple TTIs for PUSCH using a single UL grant in NR-U,</w:t>
      </w:r>
      <w:r w:rsidR="002C3270">
        <w:rPr>
          <w:b/>
          <w:i/>
          <w:lang w:eastAsia="ja-JP"/>
        </w:rPr>
        <w:t xml:space="preserve"> to schedule different TBs should be supported. </w:t>
      </w:r>
    </w:p>
    <w:bookmarkEnd w:id="1"/>
    <w:p w14:paraId="13C3C571" w14:textId="77777777" w:rsidR="005D2E34" w:rsidRDefault="005D2E34" w:rsidP="00752334">
      <w:pPr>
        <w:rPr>
          <w:lang w:val="en-US" w:eastAsia="ja-JP"/>
        </w:rPr>
      </w:pPr>
    </w:p>
    <w:p w14:paraId="3067ED69" w14:textId="0AFD3353" w:rsidR="00752334" w:rsidRPr="00245C67" w:rsidRDefault="00752334" w:rsidP="00245C67">
      <w:pPr>
        <w:rPr>
          <w:b/>
          <w:u w:val="single"/>
          <w:lang w:val="en-US" w:eastAsia="ja-JP"/>
        </w:rPr>
      </w:pPr>
      <w:r w:rsidRPr="00245C67">
        <w:rPr>
          <w:rFonts w:hint="eastAsia"/>
          <w:b/>
          <w:u w:val="single"/>
          <w:lang w:val="en-US" w:eastAsia="ja-JP"/>
        </w:rPr>
        <w:t>CBG-based HARQ and scheduling</w:t>
      </w:r>
    </w:p>
    <w:p w14:paraId="19CFE0AD" w14:textId="4BDEA1B3" w:rsidR="00A04730" w:rsidRDefault="00F86F62" w:rsidP="00752334">
      <w:pPr>
        <w:rPr>
          <w:lang w:val="en-US" w:eastAsia="ja-JP"/>
        </w:rPr>
      </w:pPr>
      <w:r>
        <w:rPr>
          <w:rFonts w:hint="eastAsia"/>
          <w:lang w:val="en-US" w:eastAsia="ja-JP"/>
        </w:rPr>
        <w:t>L</w:t>
      </w:r>
      <w:r>
        <w:rPr>
          <w:lang w:val="en-US" w:eastAsia="ja-JP"/>
        </w:rPr>
        <w:t xml:space="preserve">TE-LAA supports dynamic CWS adaptation based on HARQ-ACK feedback corresponding to the TBs sent over the LAA </w:t>
      </w:r>
      <w:r w:rsidR="0065104A">
        <w:rPr>
          <w:lang w:val="en-US" w:eastAsia="ja-JP"/>
        </w:rPr>
        <w:t>carrier</w:t>
      </w:r>
      <w:r>
        <w:rPr>
          <w:lang w:val="en-US" w:eastAsia="ja-JP"/>
        </w:rPr>
        <w:t xml:space="preserve">. </w:t>
      </w:r>
      <w:r w:rsidR="00AA622D">
        <w:rPr>
          <w:lang w:val="en-US" w:eastAsia="ja-JP"/>
        </w:rPr>
        <w:t xml:space="preserve">If </w:t>
      </w:r>
      <w:r w:rsidR="005D6BF1">
        <w:rPr>
          <w:lang w:val="en-US" w:eastAsia="ja-JP"/>
        </w:rPr>
        <w:t xml:space="preserve">more than </w:t>
      </w:r>
      <w:r w:rsidR="00AA622D">
        <w:rPr>
          <w:lang w:val="en-US" w:eastAsia="ja-JP"/>
        </w:rPr>
        <w:t xml:space="preserve">a certain percentage (e.g. 80% in Rel.13 LTE-LAA) of </w:t>
      </w:r>
      <w:r w:rsidR="005D6BF1">
        <w:rPr>
          <w:lang w:val="en-US" w:eastAsia="ja-JP"/>
        </w:rPr>
        <w:t xml:space="preserve">HARQ-ACK corresponding to the TBs in the first subframe are NACK/DTX, the CWS is increased; otherwise, the CWS is reset to the minimum value. This function could reduce collisions among nodes and provide </w:t>
      </w:r>
      <w:r w:rsidR="00A04730">
        <w:rPr>
          <w:lang w:val="en-US" w:eastAsia="ja-JP"/>
        </w:rPr>
        <w:t xml:space="preserve">efficient resource usage. </w:t>
      </w:r>
    </w:p>
    <w:p w14:paraId="072E6961" w14:textId="6D0A95D0" w:rsidR="00A04730" w:rsidRDefault="00A04730" w:rsidP="00752334">
      <w:pPr>
        <w:rPr>
          <w:lang w:val="en-US" w:eastAsia="ja-JP"/>
        </w:rPr>
      </w:pPr>
      <w:r>
        <w:rPr>
          <w:lang w:val="en-US" w:eastAsia="ja-JP"/>
        </w:rPr>
        <w:t>In RAN1#95, in case of CBG-based HARQ and LBT cat-4, enhancements for defining how to adjust the CWS based on TB- and CBG-level HARQ-ACK were agreed as beneficial. F</w:t>
      </w:r>
      <w:r w:rsidR="00F4600A">
        <w:rPr>
          <w:lang w:val="en-US" w:eastAsia="ja-JP"/>
        </w:rPr>
        <w:t>rom</w:t>
      </w:r>
      <w:r>
        <w:rPr>
          <w:lang w:val="en-US" w:eastAsia="ja-JP"/>
        </w:rPr>
        <w:t xml:space="preserve"> our perspective, however, the CWS adaptation based on only TB-level HARQ-ACK could be sufficient. If collisions happen among other nodes like Wi-Fi, LAA or other NR nodes, </w:t>
      </w:r>
      <w:r w:rsidR="00FE0762">
        <w:rPr>
          <w:lang w:val="en-US" w:eastAsia="ja-JP"/>
        </w:rPr>
        <w:t xml:space="preserve">most of CBG-based HARQ-ACK feedbacks corresponding to a TB would be </w:t>
      </w:r>
      <w:r w:rsidR="00F4600A">
        <w:rPr>
          <w:lang w:val="en-US" w:eastAsia="ja-JP"/>
        </w:rPr>
        <w:t xml:space="preserve">more likely to </w:t>
      </w:r>
      <w:r w:rsidR="00FE0762">
        <w:rPr>
          <w:lang w:val="en-US" w:eastAsia="ja-JP"/>
        </w:rPr>
        <w:t>NACK/DTX. Although collisions of one or a few symbol(s) by other nodes could cause only some CBG</w:t>
      </w:r>
      <w:r w:rsidR="0065104A">
        <w:rPr>
          <w:lang w:val="en-US" w:eastAsia="ja-JP"/>
        </w:rPr>
        <w:t>’</w:t>
      </w:r>
      <w:r w:rsidR="00FE0762">
        <w:rPr>
          <w:lang w:val="en-US" w:eastAsia="ja-JP"/>
        </w:rPr>
        <w:t xml:space="preserve">s NACK/DTX but not the whole TB’s NACK/DTX, we </w:t>
      </w:r>
      <w:r w:rsidR="004003D5">
        <w:rPr>
          <w:lang w:val="en-US" w:eastAsia="ja-JP"/>
        </w:rPr>
        <w:t>consider that could be less event</w:t>
      </w:r>
      <w:r w:rsidR="00F4600A">
        <w:rPr>
          <w:lang w:val="en-US" w:eastAsia="ja-JP"/>
        </w:rPr>
        <w:t xml:space="preserve"> compared with some </w:t>
      </w:r>
      <w:r w:rsidR="0065104A">
        <w:rPr>
          <w:lang w:val="en-US" w:eastAsia="ja-JP"/>
        </w:rPr>
        <w:t>CBG</w:t>
      </w:r>
      <w:r w:rsidR="00F4600A">
        <w:rPr>
          <w:lang w:val="en-US" w:eastAsia="ja-JP"/>
        </w:rPr>
        <w:t>'s NACK/DTX caused by channel condition like fading</w:t>
      </w:r>
      <w:r w:rsidR="004003D5">
        <w:rPr>
          <w:lang w:val="en-US" w:eastAsia="ja-JP"/>
        </w:rPr>
        <w:t>.</w:t>
      </w:r>
    </w:p>
    <w:p w14:paraId="2F4C85A2" w14:textId="1B77A86F" w:rsidR="004003D5" w:rsidRDefault="004003D5" w:rsidP="004003D5">
      <w:pPr>
        <w:rPr>
          <w:b/>
          <w:i/>
          <w:lang w:val="en-US" w:eastAsia="ja-JP"/>
        </w:rPr>
      </w:pPr>
      <w:bookmarkStart w:id="2" w:name="_Hlk534795135"/>
      <w:r w:rsidRPr="005D2E34">
        <w:rPr>
          <w:b/>
          <w:i/>
          <w:lang w:val="en-US" w:eastAsia="ja-JP"/>
        </w:rPr>
        <w:t>Proposal</w:t>
      </w:r>
      <w:r>
        <w:rPr>
          <w:b/>
          <w:i/>
          <w:lang w:val="en-US" w:eastAsia="ja-JP"/>
        </w:rPr>
        <w:t xml:space="preserve"> </w:t>
      </w:r>
      <w:r w:rsidR="00F42024">
        <w:rPr>
          <w:b/>
          <w:i/>
          <w:lang w:val="en-US" w:eastAsia="ja-JP"/>
        </w:rPr>
        <w:t>4</w:t>
      </w:r>
      <w:r w:rsidRPr="005D2E34">
        <w:rPr>
          <w:b/>
          <w:i/>
          <w:lang w:val="en-US" w:eastAsia="ja-JP"/>
        </w:rPr>
        <w:t xml:space="preserve">: </w:t>
      </w:r>
      <w:r>
        <w:rPr>
          <w:b/>
          <w:i/>
          <w:lang w:val="en-US" w:eastAsia="ja-JP"/>
        </w:rPr>
        <w:t>For CWS adaptation, to consider only TB-level HARQ-ACK feedback could be sufficient.</w:t>
      </w:r>
    </w:p>
    <w:bookmarkEnd w:id="2"/>
    <w:p w14:paraId="163594CC" w14:textId="6D31FEF2"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BA415E0" w14:textId="77777777" w:rsidR="00DF01CC" w:rsidRDefault="00DF01CC" w:rsidP="00DF01CC">
      <w:pPr>
        <w:rPr>
          <w:b/>
          <w:i/>
          <w:lang w:val="en-US" w:eastAsia="ja-JP"/>
        </w:rPr>
      </w:pPr>
      <w:r w:rsidRPr="002611FB">
        <w:rPr>
          <w:b/>
          <w:i/>
          <w:lang w:val="en-US" w:eastAsia="ja-JP"/>
        </w:rPr>
        <w:t>Proposal</w:t>
      </w:r>
      <w:r>
        <w:rPr>
          <w:b/>
          <w:i/>
          <w:lang w:val="en-US" w:eastAsia="ja-JP"/>
        </w:rPr>
        <w:t xml:space="preserve"> 1</w:t>
      </w:r>
      <w:r w:rsidRPr="002611FB">
        <w:rPr>
          <w:b/>
          <w:i/>
          <w:lang w:val="en-US" w:eastAsia="ja-JP"/>
        </w:rPr>
        <w:t xml:space="preserve">: To request/trigger HARQ feedback from earlier COT(s) </w:t>
      </w:r>
      <w:r>
        <w:rPr>
          <w:b/>
          <w:i/>
          <w:lang w:val="en-US" w:eastAsia="ja-JP"/>
        </w:rPr>
        <w:t>should be supported</w:t>
      </w:r>
      <w:r w:rsidRPr="002611FB">
        <w:rPr>
          <w:b/>
          <w:i/>
          <w:lang w:val="en-US" w:eastAsia="ja-JP"/>
        </w:rPr>
        <w:t xml:space="preserve">. </w:t>
      </w:r>
    </w:p>
    <w:p w14:paraId="2A9107FA" w14:textId="4C253C40" w:rsidR="00047FE6" w:rsidRDefault="00DF01CC" w:rsidP="00047FE6">
      <w:pPr>
        <w:pStyle w:val="aff1"/>
        <w:numPr>
          <w:ilvl w:val="0"/>
          <w:numId w:val="31"/>
        </w:numPr>
        <w:ind w:leftChars="0"/>
        <w:rPr>
          <w:b/>
          <w:i/>
          <w:lang w:val="en-US" w:eastAsia="ja-JP"/>
        </w:rPr>
      </w:pPr>
      <w:r>
        <w:rPr>
          <w:b/>
          <w:i/>
          <w:lang w:val="en-US" w:eastAsia="ja-JP"/>
        </w:rPr>
        <w:t>The request/trigger should be contained within the requested/triggered COT.</w:t>
      </w:r>
    </w:p>
    <w:p w14:paraId="4B852FC0" w14:textId="033CD7B1" w:rsidR="000F4F71" w:rsidRPr="00F42024" w:rsidRDefault="000F4F71" w:rsidP="00F42024">
      <w:pPr>
        <w:pStyle w:val="aff1"/>
        <w:numPr>
          <w:ilvl w:val="0"/>
          <w:numId w:val="31"/>
        </w:numPr>
        <w:ind w:leftChars="0"/>
        <w:rPr>
          <w:b/>
          <w:i/>
          <w:lang w:val="en-US" w:eastAsia="ja-JP"/>
        </w:rPr>
      </w:pPr>
      <w:r>
        <w:rPr>
          <w:b/>
          <w:i/>
          <w:lang w:val="en-US" w:eastAsia="ja-JP"/>
        </w:rPr>
        <w:t>As a trigger, to indicate other than HARQ process related information could be better (e.g. PDSCH grouping ID).</w:t>
      </w:r>
    </w:p>
    <w:p w14:paraId="7AA0E059" w14:textId="6938C7EA" w:rsidR="00047FE6" w:rsidRPr="00047FE6" w:rsidRDefault="00047FE6" w:rsidP="00047FE6">
      <w:pPr>
        <w:pStyle w:val="aff1"/>
        <w:numPr>
          <w:ilvl w:val="0"/>
          <w:numId w:val="31"/>
        </w:numPr>
        <w:ind w:leftChars="0"/>
        <w:rPr>
          <w:b/>
          <w:i/>
          <w:lang w:val="en-US" w:eastAsia="ja-JP"/>
        </w:rPr>
      </w:pPr>
      <w:r>
        <w:rPr>
          <w:b/>
          <w:i/>
          <w:lang w:val="en-US" w:eastAsia="ja-JP"/>
        </w:rPr>
        <w:t>To lower DCI overhead, the combination between pre-configured resource and dynamic trigger should be used.</w:t>
      </w:r>
    </w:p>
    <w:p w14:paraId="772B2002" w14:textId="425A468E" w:rsidR="00E64C2E" w:rsidRDefault="00E64C2E" w:rsidP="00DF01CC">
      <w:pPr>
        <w:rPr>
          <w:b/>
          <w:i/>
          <w:lang w:val="en-US" w:eastAsia="ja-JP"/>
        </w:rPr>
      </w:pPr>
      <w:r>
        <w:rPr>
          <w:b/>
          <w:i/>
          <w:lang w:val="en-US" w:eastAsia="ja-JP"/>
        </w:rPr>
        <w:t>P</w:t>
      </w:r>
      <w:r>
        <w:rPr>
          <w:rFonts w:hint="eastAsia"/>
          <w:b/>
          <w:i/>
          <w:lang w:val="en-US" w:eastAsia="ja-JP"/>
        </w:rPr>
        <w:t xml:space="preserve">roposal </w:t>
      </w:r>
      <w:r>
        <w:rPr>
          <w:b/>
          <w:i/>
          <w:lang w:val="en-US" w:eastAsia="ja-JP"/>
        </w:rPr>
        <w:t>2: At least dynamic codebook size determination should be supported.</w:t>
      </w:r>
    </w:p>
    <w:p w14:paraId="2A996011" w14:textId="58B77220" w:rsidR="00DF01CC" w:rsidRPr="0075212B" w:rsidRDefault="00DF01CC" w:rsidP="00DF01CC">
      <w:pPr>
        <w:rPr>
          <w:b/>
          <w:i/>
          <w:lang w:eastAsia="ja-JP"/>
        </w:rPr>
      </w:pPr>
      <w:r w:rsidRPr="00A45C3C">
        <w:rPr>
          <w:b/>
          <w:i/>
          <w:lang w:eastAsia="ja-JP"/>
        </w:rPr>
        <w:t>Proposal</w:t>
      </w:r>
      <w:r>
        <w:rPr>
          <w:b/>
          <w:i/>
          <w:lang w:eastAsia="ja-JP"/>
        </w:rPr>
        <w:t xml:space="preserve"> </w:t>
      </w:r>
      <w:r w:rsidR="00F42024">
        <w:rPr>
          <w:b/>
          <w:i/>
          <w:lang w:eastAsia="ja-JP"/>
        </w:rPr>
        <w:t>3</w:t>
      </w:r>
      <w:r w:rsidRPr="00A45C3C">
        <w:rPr>
          <w:b/>
          <w:i/>
          <w:lang w:eastAsia="ja-JP"/>
        </w:rPr>
        <w:t xml:space="preserve">: </w:t>
      </w:r>
      <w:r>
        <w:rPr>
          <w:b/>
          <w:i/>
          <w:lang w:eastAsia="ja-JP"/>
        </w:rPr>
        <w:t>In NR-U, f</w:t>
      </w:r>
      <w:r w:rsidRPr="00A45C3C">
        <w:rPr>
          <w:b/>
          <w:i/>
          <w:lang w:eastAsia="ja-JP"/>
        </w:rPr>
        <w:t>or scheduling multiple TTIs for PUSCH using a single UL grant in NR-U,</w:t>
      </w:r>
      <w:r>
        <w:rPr>
          <w:b/>
          <w:i/>
          <w:lang w:eastAsia="ja-JP"/>
        </w:rPr>
        <w:t xml:space="preserve"> to schedule different TBs should be supported. </w:t>
      </w:r>
    </w:p>
    <w:p w14:paraId="41573DAE" w14:textId="470596AF" w:rsidR="00DF01CC" w:rsidRDefault="00DF01CC" w:rsidP="00DF01CC">
      <w:pPr>
        <w:rPr>
          <w:b/>
          <w:i/>
          <w:lang w:val="en-US" w:eastAsia="ja-JP"/>
        </w:rPr>
      </w:pPr>
      <w:r w:rsidRPr="005D2E34">
        <w:rPr>
          <w:b/>
          <w:i/>
          <w:lang w:val="en-US" w:eastAsia="ja-JP"/>
        </w:rPr>
        <w:t>Proposal</w:t>
      </w:r>
      <w:r>
        <w:rPr>
          <w:b/>
          <w:i/>
          <w:lang w:val="en-US" w:eastAsia="ja-JP"/>
        </w:rPr>
        <w:t xml:space="preserve"> </w:t>
      </w:r>
      <w:r w:rsidR="00F42024">
        <w:rPr>
          <w:b/>
          <w:i/>
          <w:lang w:val="en-US" w:eastAsia="ja-JP"/>
        </w:rPr>
        <w:t>4</w:t>
      </w:r>
      <w:r w:rsidRPr="005D2E34">
        <w:rPr>
          <w:b/>
          <w:i/>
          <w:lang w:val="en-US" w:eastAsia="ja-JP"/>
        </w:rPr>
        <w:t xml:space="preserve">: </w:t>
      </w:r>
      <w:r>
        <w:rPr>
          <w:b/>
          <w:i/>
          <w:lang w:val="en-US" w:eastAsia="ja-JP"/>
        </w:rPr>
        <w:t>For CWS adaptation, to consider only TB-level HARQ-ACK feedback could be sufficient.</w:t>
      </w:r>
    </w:p>
    <w:p w14:paraId="190F1256" w14:textId="38149032" w:rsidR="0006331F" w:rsidRPr="00542CB0" w:rsidRDefault="0006331F" w:rsidP="00DE0645">
      <w:pPr>
        <w:spacing w:beforeLines="50" w:before="120" w:afterLines="50" w:after="120"/>
        <w:rPr>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lastRenderedPageBreak/>
        <w:t>Reference</w:t>
      </w:r>
    </w:p>
    <w:p w14:paraId="3FB946D5" w14:textId="04F3FE05" w:rsidR="00E30C58" w:rsidRPr="00293D68" w:rsidRDefault="00E30C58" w:rsidP="00047FE6">
      <w:pPr>
        <w:tabs>
          <w:tab w:val="left" w:pos="4008"/>
        </w:tabs>
        <w:spacing w:before="120" w:after="120"/>
        <w:rPr>
          <w:rFonts w:eastAsiaTheme="minorEastAsia"/>
          <w:lang w:val="en-US" w:eastAsia="ja-JP"/>
        </w:rPr>
      </w:pPr>
      <w:r>
        <w:rPr>
          <w:rFonts w:eastAsiaTheme="minorEastAsia" w:hint="eastAsia"/>
          <w:lang w:eastAsia="ja-JP"/>
        </w:rPr>
        <w:t xml:space="preserve">[1] </w:t>
      </w:r>
      <w:r>
        <w:rPr>
          <w:rFonts w:eastAsiaTheme="minorEastAsia"/>
          <w:lang w:eastAsia="ja-JP"/>
        </w:rPr>
        <w:t xml:space="preserve">R1-1900240, </w:t>
      </w:r>
      <w:r w:rsidRPr="00E30C58">
        <w:rPr>
          <w:rFonts w:eastAsiaTheme="minorEastAsia"/>
          <w:lang w:eastAsia="ja-JP"/>
        </w:rPr>
        <w:t>NR-U UL signals and channels</w:t>
      </w:r>
      <w:r>
        <w:rPr>
          <w:rFonts w:eastAsiaTheme="minorEastAsia"/>
          <w:lang w:eastAsia="ja-JP"/>
        </w:rPr>
        <w:t>, Panasonic</w:t>
      </w:r>
    </w:p>
    <w:p w14:paraId="28896068" w14:textId="23170B77" w:rsidR="00047FE6" w:rsidRDefault="00047FE6" w:rsidP="00047FE6">
      <w:pPr>
        <w:tabs>
          <w:tab w:val="left" w:pos="4008"/>
        </w:tabs>
        <w:spacing w:before="120" w:after="120"/>
        <w:rPr>
          <w:lang w:eastAsia="ja-JP"/>
        </w:rPr>
      </w:pPr>
      <w:r>
        <w:rPr>
          <w:rFonts w:eastAsiaTheme="minorEastAsia"/>
          <w:lang w:eastAsia="ja-JP"/>
        </w:rPr>
        <w:t>[</w:t>
      </w:r>
      <w:r w:rsidR="00E30C58">
        <w:rPr>
          <w:rFonts w:eastAsiaTheme="minorEastAsia"/>
          <w:lang w:eastAsia="ja-JP"/>
        </w:rPr>
        <w:t>2</w:t>
      </w:r>
      <w:r>
        <w:rPr>
          <w:rFonts w:eastAsiaTheme="minorEastAsia"/>
          <w:lang w:eastAsia="ja-JP"/>
        </w:rPr>
        <w:t xml:space="preserve">] </w:t>
      </w:r>
      <w:r w:rsidRPr="00DC621D">
        <w:rPr>
          <w:rFonts w:eastAsiaTheme="minorEastAsia"/>
          <w:lang w:eastAsia="ja-JP"/>
        </w:rPr>
        <w:t>R1-1718287</w:t>
      </w:r>
      <w:r>
        <w:rPr>
          <w:rFonts w:eastAsiaTheme="minorEastAsia"/>
          <w:lang w:eastAsia="ja-JP"/>
        </w:rPr>
        <w:t xml:space="preserve">, </w:t>
      </w:r>
      <w:r w:rsidRPr="00DC621D">
        <w:rPr>
          <w:rFonts w:eastAsiaTheme="minorEastAsia"/>
          <w:lang w:eastAsia="ja-JP"/>
        </w:rPr>
        <w:t>HARQ-ACK codebook for CBG-based transmission</w:t>
      </w:r>
      <w:r>
        <w:rPr>
          <w:rFonts w:eastAsiaTheme="minorEastAsia"/>
          <w:lang w:eastAsia="ja-JP"/>
        </w:rPr>
        <w:t xml:space="preserve">, </w:t>
      </w:r>
      <w:r w:rsidRPr="00DC621D">
        <w:rPr>
          <w:rFonts w:eastAsiaTheme="minorEastAsia"/>
          <w:lang w:eastAsia="ja-JP"/>
        </w:rPr>
        <w:t>Panasonic</w:t>
      </w:r>
    </w:p>
    <w:p w14:paraId="13E4A387" w14:textId="7F18AEE8" w:rsidR="006E466A" w:rsidRDefault="006E466A" w:rsidP="005F186B">
      <w:pPr>
        <w:tabs>
          <w:tab w:val="left" w:pos="4008"/>
        </w:tabs>
        <w:spacing w:before="120" w:after="120"/>
        <w:rPr>
          <w:lang w:eastAsia="ja-JP"/>
        </w:rPr>
      </w:pPr>
    </w:p>
    <w:p w14:paraId="70FAFD67" w14:textId="303B43AB" w:rsidR="005F28B0" w:rsidRDefault="005F28B0" w:rsidP="005F186B">
      <w:pPr>
        <w:tabs>
          <w:tab w:val="left" w:pos="4008"/>
        </w:tabs>
        <w:spacing w:before="120" w:after="120"/>
        <w:rPr>
          <w:lang w:eastAsia="ja-JP"/>
        </w:rPr>
      </w:pPr>
    </w:p>
    <w:p w14:paraId="6C9FB8FB" w14:textId="6F55A176" w:rsidR="005F28B0" w:rsidRDefault="005F28B0" w:rsidP="005F28B0">
      <w:pPr>
        <w:pStyle w:val="1"/>
        <w:rPr>
          <w:lang w:eastAsia="ja-JP"/>
        </w:rPr>
      </w:pPr>
      <w:r>
        <w:rPr>
          <w:lang w:eastAsia="ja-JP"/>
        </w:rPr>
        <w:t>A</w:t>
      </w:r>
      <w:r w:rsidR="00AA6C46">
        <w:rPr>
          <w:lang w:eastAsia="ja-JP"/>
        </w:rPr>
        <w:t>ppendix</w:t>
      </w:r>
    </w:p>
    <w:p w14:paraId="565F2E25" w14:textId="62DCF7E6" w:rsidR="005F28B0" w:rsidRPr="005F28B0" w:rsidRDefault="005F28B0" w:rsidP="005F28B0">
      <w:pPr>
        <w:rPr>
          <w:b/>
          <w:u w:val="single"/>
          <w:lang w:eastAsia="ja-JP"/>
        </w:rPr>
      </w:pPr>
      <w:r w:rsidRPr="005F28B0">
        <w:rPr>
          <w:b/>
          <w:u w:val="single"/>
          <w:lang w:eastAsia="ja-JP"/>
        </w:rPr>
        <w:t>Past agreements</w:t>
      </w:r>
    </w:p>
    <w:p w14:paraId="4028EB95" w14:textId="77777777" w:rsidR="005F28B0" w:rsidRDefault="005F28B0" w:rsidP="005F28B0">
      <w:pPr>
        <w:rPr>
          <w:lang w:eastAsia="ja-JP"/>
        </w:rPr>
      </w:pPr>
      <w:r>
        <w:rPr>
          <w:lang w:eastAsia="ja-JP"/>
        </w:rPr>
        <w:t>Agreements in #93</w:t>
      </w:r>
    </w:p>
    <w:tbl>
      <w:tblPr>
        <w:tblStyle w:val="af9"/>
        <w:tblW w:w="0" w:type="auto"/>
        <w:tblLook w:val="04A0" w:firstRow="1" w:lastRow="0" w:firstColumn="1" w:lastColumn="0" w:noHBand="0" w:noVBand="1"/>
      </w:tblPr>
      <w:tblGrid>
        <w:gridCol w:w="9630"/>
      </w:tblGrid>
      <w:tr w:rsidR="005F28B0" w14:paraId="28D30A51" w14:textId="77777777" w:rsidTr="005F28B0">
        <w:tc>
          <w:tcPr>
            <w:tcW w:w="9630" w:type="dxa"/>
          </w:tcPr>
          <w:p w14:paraId="5715F005" w14:textId="77777777" w:rsidR="005F28B0" w:rsidRPr="00D80EDE" w:rsidRDefault="005F28B0" w:rsidP="005F28B0">
            <w:pPr>
              <w:rPr>
                <w:lang w:eastAsia="x-none"/>
              </w:rPr>
            </w:pPr>
            <w:r w:rsidRPr="00876D16">
              <w:rPr>
                <w:highlight w:val="green"/>
                <w:lang w:eastAsia="x-none"/>
              </w:rPr>
              <w:t>Agreement:</w:t>
            </w:r>
          </w:p>
          <w:p w14:paraId="7FA5DA5C" w14:textId="77777777" w:rsidR="005F28B0" w:rsidRPr="00D80EDE" w:rsidRDefault="005F28B0" w:rsidP="005F28B0">
            <w:pPr>
              <w:numPr>
                <w:ilvl w:val="0"/>
                <w:numId w:val="27"/>
              </w:numPr>
              <w:spacing w:after="0"/>
              <w:rPr>
                <w:lang w:eastAsia="x-none"/>
              </w:rPr>
            </w:pPr>
            <w:r w:rsidRPr="00D80EDE">
              <w:rPr>
                <w:lang w:eastAsia="x-none"/>
              </w:rPr>
              <w:t>Transmission of HARQ A/N for the corresponding data in the same shared COT is identified as beneficial</w:t>
            </w:r>
          </w:p>
          <w:p w14:paraId="18B706DE" w14:textId="77777777" w:rsidR="005F28B0" w:rsidRPr="00D80EDE" w:rsidRDefault="005F28B0" w:rsidP="005F28B0">
            <w:pPr>
              <w:numPr>
                <w:ilvl w:val="1"/>
                <w:numId w:val="27"/>
              </w:numPr>
              <w:spacing w:after="0"/>
              <w:rPr>
                <w:lang w:eastAsia="x-none"/>
              </w:rPr>
            </w:pPr>
            <w:r w:rsidRPr="00D80EDE">
              <w:rPr>
                <w:lang w:eastAsia="x-none"/>
              </w:rPr>
              <w:t>Strive to support transmitting all HARQ A/N for the corresponding data in the same shared COT, if possible, considering the current NR UE processing time required</w:t>
            </w:r>
          </w:p>
          <w:p w14:paraId="408F2779" w14:textId="77777777" w:rsidR="005F28B0" w:rsidRPr="00D80EDE" w:rsidRDefault="005F28B0" w:rsidP="005F28B0">
            <w:pPr>
              <w:numPr>
                <w:ilvl w:val="2"/>
                <w:numId w:val="27"/>
              </w:numPr>
              <w:spacing w:after="0"/>
              <w:rPr>
                <w:lang w:eastAsia="x-none"/>
              </w:rPr>
            </w:pPr>
            <w:r w:rsidRPr="00D80EDE">
              <w:rPr>
                <w:lang w:eastAsia="x-none"/>
              </w:rPr>
              <w:t>Mechanisms to support this need to be identified</w:t>
            </w:r>
          </w:p>
          <w:p w14:paraId="4EEA28F8" w14:textId="77777777" w:rsidR="005F28B0" w:rsidRPr="00D80EDE" w:rsidRDefault="005F28B0" w:rsidP="005F28B0">
            <w:pPr>
              <w:pStyle w:val="aff1"/>
              <w:numPr>
                <w:ilvl w:val="1"/>
                <w:numId w:val="27"/>
              </w:numPr>
              <w:spacing w:after="0"/>
              <w:ind w:leftChars="0"/>
              <w:contextualSpacing/>
            </w:pPr>
            <w:r w:rsidRPr="00D80EDE">
              <w:t>It is understood in some cases, the HARQ A/N has to be transmitted in a separate COT from the one the corresponding data was transmitted</w:t>
            </w:r>
          </w:p>
          <w:p w14:paraId="08328E09" w14:textId="77777777" w:rsidR="005F28B0" w:rsidRPr="00D80EDE" w:rsidRDefault="005F28B0" w:rsidP="005F28B0">
            <w:pPr>
              <w:numPr>
                <w:ilvl w:val="2"/>
                <w:numId w:val="27"/>
              </w:numPr>
              <w:spacing w:after="0"/>
              <w:rPr>
                <w:lang w:eastAsia="x-none"/>
              </w:rPr>
            </w:pPr>
            <w:r w:rsidRPr="00D80EDE">
              <w:rPr>
                <w:lang w:eastAsia="x-none"/>
              </w:rPr>
              <w:t>Mechanisms to support this need to be identified</w:t>
            </w:r>
          </w:p>
          <w:p w14:paraId="167F9DE1" w14:textId="77777777" w:rsidR="005F28B0" w:rsidRPr="00D80EDE" w:rsidRDefault="005F28B0" w:rsidP="005F28B0">
            <w:pPr>
              <w:spacing w:line="259" w:lineRule="auto"/>
              <w:rPr>
                <w:highlight w:val="cyan"/>
              </w:rPr>
            </w:pPr>
            <w:r w:rsidRPr="00876D16">
              <w:rPr>
                <w:highlight w:val="green"/>
              </w:rPr>
              <w:t>Agreement:</w:t>
            </w:r>
          </w:p>
          <w:p w14:paraId="38D87377" w14:textId="77777777" w:rsidR="005F28B0" w:rsidRPr="00D80EDE" w:rsidRDefault="005F28B0" w:rsidP="005F28B0">
            <w:pPr>
              <w:numPr>
                <w:ilvl w:val="0"/>
                <w:numId w:val="27"/>
              </w:numPr>
              <w:spacing w:after="0"/>
              <w:rPr>
                <w:lang w:eastAsia="x-none"/>
              </w:rPr>
            </w:pPr>
            <w:r w:rsidRPr="00D80EDE">
              <w:rPr>
                <w:lang w:eastAsia="x-none"/>
              </w:rPr>
              <w:t>Techniques to handle reduced HARQ A/N transmission opportunities for a given HARQ process due to LBT failure are identified as beneficial</w:t>
            </w:r>
          </w:p>
          <w:p w14:paraId="62D274F2" w14:textId="77777777" w:rsidR="005F28B0" w:rsidRPr="00D80EDE" w:rsidRDefault="005F28B0" w:rsidP="005F28B0">
            <w:pPr>
              <w:numPr>
                <w:ilvl w:val="1"/>
                <w:numId w:val="27"/>
              </w:numPr>
              <w:spacing w:after="0"/>
              <w:rPr>
                <w:lang w:eastAsia="x-none"/>
              </w:rPr>
            </w:pPr>
            <w:r w:rsidRPr="00D80EDE">
              <w:rPr>
                <w:lang w:eastAsia="x-none"/>
              </w:rPr>
              <w:t>Potential techniques include mechanisms to provide multiple and/or supplemental time and/or frequency domain transmission opportunities</w:t>
            </w:r>
          </w:p>
          <w:p w14:paraId="3EDD4427" w14:textId="77777777" w:rsidR="005F28B0" w:rsidRPr="00C032F8" w:rsidRDefault="005F28B0" w:rsidP="005F28B0">
            <w:pPr>
              <w:spacing w:line="259" w:lineRule="auto"/>
            </w:pPr>
            <w:r w:rsidRPr="00876D16">
              <w:rPr>
                <w:highlight w:val="green"/>
              </w:rPr>
              <w:t>Agreement:</w:t>
            </w:r>
          </w:p>
          <w:p w14:paraId="498C56A5" w14:textId="77777777" w:rsidR="005F28B0" w:rsidRPr="00C032F8" w:rsidRDefault="005F28B0" w:rsidP="005F28B0">
            <w:pPr>
              <w:pStyle w:val="aff1"/>
              <w:numPr>
                <w:ilvl w:val="0"/>
                <w:numId w:val="27"/>
              </w:numPr>
              <w:spacing w:after="0" w:line="259" w:lineRule="auto"/>
              <w:ind w:leftChars="0"/>
              <w:contextualSpacing/>
            </w:pPr>
            <w:r w:rsidRPr="00C032F8">
              <w:t>NR-U uses NR HARQ feedback mechanisms as baseline, and enhancements can be identified</w:t>
            </w:r>
          </w:p>
          <w:p w14:paraId="27E4E6E9" w14:textId="77777777" w:rsidR="005F28B0" w:rsidRPr="00C032F8" w:rsidRDefault="005F28B0" w:rsidP="005F28B0">
            <w:pPr>
              <w:pStyle w:val="aff1"/>
              <w:numPr>
                <w:ilvl w:val="0"/>
                <w:numId w:val="27"/>
              </w:numPr>
              <w:spacing w:after="0" w:line="259" w:lineRule="auto"/>
              <w:ind w:leftChars="0"/>
              <w:contextualSpacing/>
            </w:pPr>
            <w:r w:rsidRPr="00C032F8">
              <w:t>When UL HARQ feedback is transmitted on unlicensed band, NR-U considers mechanisms to support flexible triggering and multiplexing of HARQ feedback for one or more DL HARQ processes</w:t>
            </w:r>
          </w:p>
          <w:p w14:paraId="137B52DC" w14:textId="77777777" w:rsidR="005F28B0" w:rsidRDefault="005F28B0" w:rsidP="005F28B0">
            <w:pPr>
              <w:rPr>
                <w:lang w:eastAsia="x-none"/>
              </w:rPr>
            </w:pPr>
          </w:p>
          <w:p w14:paraId="7D269012" w14:textId="77777777" w:rsidR="005F28B0" w:rsidRPr="00ED02EE" w:rsidRDefault="005F28B0" w:rsidP="005F28B0">
            <w:pPr>
              <w:spacing w:line="259" w:lineRule="auto"/>
            </w:pPr>
            <w:r w:rsidRPr="00876D16">
              <w:rPr>
                <w:highlight w:val="green"/>
              </w:rPr>
              <w:t>Agreement:</w:t>
            </w:r>
          </w:p>
          <w:p w14:paraId="4B71EDB0" w14:textId="77777777" w:rsidR="005F28B0" w:rsidRPr="00ED02EE" w:rsidRDefault="005F28B0" w:rsidP="005F28B0">
            <w:pPr>
              <w:pStyle w:val="aff1"/>
              <w:numPr>
                <w:ilvl w:val="0"/>
                <w:numId w:val="27"/>
              </w:numPr>
              <w:spacing w:after="0" w:line="259" w:lineRule="auto"/>
              <w:ind w:leftChars="0"/>
              <w:contextualSpacing/>
            </w:pPr>
            <w:r w:rsidRPr="00ED02EE">
              <w:t xml:space="preserve">Scheduling multiple TTIs for PUSCH each using a separate UL grant in the same PDCCH monitoring occasion is identified as beneficial </w:t>
            </w:r>
          </w:p>
          <w:p w14:paraId="090F3E3B" w14:textId="78B427B2" w:rsidR="005F28B0" w:rsidRPr="005F28B0" w:rsidRDefault="005F28B0" w:rsidP="005F28B0">
            <w:pPr>
              <w:pStyle w:val="aff1"/>
              <w:numPr>
                <w:ilvl w:val="0"/>
                <w:numId w:val="27"/>
              </w:numPr>
              <w:spacing w:after="0" w:line="259" w:lineRule="auto"/>
              <w:ind w:leftChars="0"/>
              <w:contextualSpacing/>
            </w:pPr>
            <w:r w:rsidRPr="00ED02EE">
              <w:t>Scheduling multiple TTIs for PUSCH using a single UL grant is identified as beneficial and should be supported in NR-U</w:t>
            </w:r>
          </w:p>
        </w:tc>
      </w:tr>
    </w:tbl>
    <w:p w14:paraId="44AF2062" w14:textId="77777777" w:rsidR="005F28B0" w:rsidRDefault="005F28B0" w:rsidP="005F28B0">
      <w:pPr>
        <w:rPr>
          <w:lang w:eastAsia="ja-JP"/>
        </w:rPr>
      </w:pPr>
    </w:p>
    <w:p w14:paraId="0D7A2A7E" w14:textId="4DD839C7" w:rsidR="005F28B0" w:rsidRDefault="005F28B0" w:rsidP="005F28B0">
      <w:pPr>
        <w:rPr>
          <w:lang w:eastAsia="ja-JP"/>
        </w:rPr>
      </w:pPr>
      <w:r>
        <w:rPr>
          <w:lang w:eastAsia="ja-JP"/>
        </w:rPr>
        <w:t>Agreements in #94</w:t>
      </w:r>
    </w:p>
    <w:tbl>
      <w:tblPr>
        <w:tblStyle w:val="af9"/>
        <w:tblW w:w="0" w:type="auto"/>
        <w:tblLook w:val="04A0" w:firstRow="1" w:lastRow="0" w:firstColumn="1" w:lastColumn="0" w:noHBand="0" w:noVBand="1"/>
      </w:tblPr>
      <w:tblGrid>
        <w:gridCol w:w="9630"/>
      </w:tblGrid>
      <w:tr w:rsidR="00542CB0" w14:paraId="13132E53" w14:textId="77777777" w:rsidTr="00542CB0">
        <w:tc>
          <w:tcPr>
            <w:tcW w:w="9630" w:type="dxa"/>
          </w:tcPr>
          <w:p w14:paraId="29B089C8" w14:textId="77777777" w:rsidR="00542CB0" w:rsidRPr="004108E1" w:rsidRDefault="00542CB0" w:rsidP="00542CB0">
            <w:pPr>
              <w:rPr>
                <w:lang w:val="en-US" w:eastAsia="x-none"/>
              </w:rPr>
            </w:pPr>
            <w:r w:rsidRPr="004108E1">
              <w:rPr>
                <w:highlight w:val="green"/>
                <w:lang w:val="en-US" w:eastAsia="x-none"/>
              </w:rPr>
              <w:t>Agreement:</w:t>
            </w:r>
            <w:r w:rsidRPr="004108E1">
              <w:rPr>
                <w:rFonts w:hint="eastAsia"/>
                <w:lang w:val="en-US" w:eastAsia="x-none"/>
              </w:rPr>
              <w:t xml:space="preserve"> </w:t>
            </w:r>
          </w:p>
          <w:p w14:paraId="74A29791" w14:textId="77777777" w:rsidR="00542CB0" w:rsidRPr="004108E1" w:rsidRDefault="00542CB0" w:rsidP="00542CB0">
            <w:pPr>
              <w:numPr>
                <w:ilvl w:val="0"/>
                <w:numId w:val="26"/>
              </w:numPr>
              <w:spacing w:after="0"/>
              <w:rPr>
                <w:lang w:val="en-US" w:eastAsia="x-none"/>
              </w:rPr>
            </w:pPr>
            <w:r w:rsidRPr="004108E1">
              <w:rPr>
                <w:lang w:val="en-US" w:eastAsia="x-none"/>
              </w:rPr>
              <w:t>NR-U should support both:</w:t>
            </w:r>
          </w:p>
          <w:p w14:paraId="1C9D94AF" w14:textId="77777777" w:rsidR="00542CB0" w:rsidRPr="004108E1" w:rsidRDefault="00542CB0" w:rsidP="00542CB0">
            <w:pPr>
              <w:numPr>
                <w:ilvl w:val="1"/>
                <w:numId w:val="26"/>
              </w:numPr>
              <w:spacing w:after="0"/>
              <w:rPr>
                <w:lang w:val="en-US" w:eastAsia="x-none"/>
              </w:rPr>
            </w:pPr>
            <w:bookmarkStart w:id="3" w:name="OLE_LINK20"/>
            <w:r w:rsidRPr="004108E1">
              <w:rPr>
                <w:lang w:val="en-US" w:eastAsia="x-none"/>
              </w:rPr>
              <w:t>HARQ feedback corresponding to some or all the PDSCHs of a channel occupancy can be reported in the same channel occupancy</w:t>
            </w:r>
            <w:bookmarkEnd w:id="3"/>
          </w:p>
          <w:p w14:paraId="645DAC8D" w14:textId="77777777" w:rsidR="00542CB0" w:rsidRPr="004108E1" w:rsidRDefault="00542CB0" w:rsidP="00542CB0">
            <w:pPr>
              <w:numPr>
                <w:ilvl w:val="2"/>
                <w:numId w:val="26"/>
              </w:numPr>
              <w:spacing w:after="0"/>
              <w:rPr>
                <w:lang w:val="en-US" w:eastAsia="x-none"/>
              </w:rPr>
            </w:pPr>
            <w:r w:rsidRPr="004108E1">
              <w:rPr>
                <w:bCs/>
                <w:lang w:val="en-US" w:eastAsia="x-none"/>
              </w:rPr>
              <w:t>It is found beneficial to extend the PDSCH-to-HARQ-timing to support indicating timings up to the end of the longest COT allowed by regulations, one or more of the following would be needed:</w:t>
            </w:r>
          </w:p>
          <w:p w14:paraId="78B19927" w14:textId="77777777" w:rsidR="00542CB0" w:rsidRPr="004108E1" w:rsidRDefault="00542CB0" w:rsidP="00542CB0">
            <w:pPr>
              <w:numPr>
                <w:ilvl w:val="3"/>
                <w:numId w:val="26"/>
              </w:numPr>
              <w:spacing w:after="0"/>
              <w:rPr>
                <w:lang w:val="en-US" w:eastAsia="x-none"/>
              </w:rPr>
            </w:pPr>
            <w:r w:rsidRPr="004108E1">
              <w:rPr>
                <w:bCs/>
                <w:lang w:val="en-US" w:eastAsia="x-none"/>
              </w:rPr>
              <w:t>Allow values larger than 15 by RRC signaling (FFS the largest value needed)</w:t>
            </w:r>
          </w:p>
          <w:p w14:paraId="504D57A4" w14:textId="77777777" w:rsidR="00542CB0" w:rsidRPr="004108E1" w:rsidRDefault="00542CB0" w:rsidP="00542CB0">
            <w:pPr>
              <w:numPr>
                <w:ilvl w:val="4"/>
                <w:numId w:val="26"/>
              </w:numPr>
              <w:spacing w:after="0"/>
              <w:rPr>
                <w:lang w:val="en-US" w:eastAsia="x-none"/>
              </w:rPr>
            </w:pPr>
            <w:r>
              <w:rPr>
                <w:bCs/>
                <w:lang w:val="en-US" w:eastAsia="x-none"/>
              </w:rPr>
              <w:t>N</w:t>
            </w:r>
            <w:r w:rsidRPr="004108E1">
              <w:rPr>
                <w:bCs/>
                <w:lang w:val="en-US" w:eastAsia="x-none"/>
              </w:rPr>
              <w:t>ote: in some cases this may point outside of the COT</w:t>
            </w:r>
          </w:p>
          <w:p w14:paraId="42280CC3" w14:textId="77777777" w:rsidR="00542CB0" w:rsidRPr="004108E1" w:rsidRDefault="00542CB0" w:rsidP="00542CB0">
            <w:pPr>
              <w:numPr>
                <w:ilvl w:val="3"/>
                <w:numId w:val="26"/>
              </w:numPr>
              <w:spacing w:after="0"/>
              <w:rPr>
                <w:lang w:val="en-US" w:eastAsia="x-none"/>
              </w:rPr>
            </w:pPr>
            <w:r w:rsidRPr="004108E1">
              <w:rPr>
                <w:bCs/>
                <w:lang w:val="en-US" w:eastAsia="x-none"/>
              </w:rPr>
              <w:t>Allow more bits for the PDSCH-to-HARQ-timing-indicator</w:t>
            </w:r>
          </w:p>
          <w:p w14:paraId="157E7B0C" w14:textId="77777777" w:rsidR="00542CB0" w:rsidRPr="004108E1" w:rsidRDefault="00542CB0" w:rsidP="00542CB0">
            <w:pPr>
              <w:numPr>
                <w:ilvl w:val="1"/>
                <w:numId w:val="26"/>
              </w:numPr>
              <w:spacing w:after="0"/>
              <w:rPr>
                <w:lang w:val="en-US" w:eastAsia="x-none"/>
              </w:rPr>
            </w:pPr>
            <w:r w:rsidRPr="004108E1">
              <w:rPr>
                <w:lang w:val="en-US" w:eastAsia="x-none"/>
              </w:rPr>
              <w:t>HARQ feedback corresponding to PDSCHs of a channel occupancy can be reported outside of that channel occupancy. These possible candidate solutions can be considered:</w:t>
            </w:r>
          </w:p>
          <w:p w14:paraId="3043258C" w14:textId="77777777" w:rsidR="00542CB0" w:rsidRPr="004108E1" w:rsidRDefault="00542CB0" w:rsidP="00542CB0">
            <w:pPr>
              <w:numPr>
                <w:ilvl w:val="2"/>
                <w:numId w:val="26"/>
              </w:numPr>
              <w:spacing w:after="0"/>
              <w:rPr>
                <w:lang w:val="en-US" w:eastAsia="x-none"/>
              </w:rPr>
            </w:pPr>
            <w:r w:rsidRPr="004108E1">
              <w:rPr>
                <w:lang w:val="en-US" w:eastAsia="x-none"/>
              </w:rPr>
              <w:t xml:space="preserve">Alt1: </w:t>
            </w:r>
            <w:proofErr w:type="spellStart"/>
            <w:r w:rsidRPr="004108E1">
              <w:rPr>
                <w:lang w:val="en-US" w:eastAsia="x-none"/>
              </w:rPr>
              <w:t>gNB</w:t>
            </w:r>
            <w:proofErr w:type="spellEnd"/>
            <w:r w:rsidRPr="004108E1">
              <w:rPr>
                <w:lang w:val="en-US" w:eastAsia="x-none"/>
              </w:rPr>
              <w:t xml:space="preserve"> requests/triggers feedback for PDSCH from earlier COT(s)</w:t>
            </w:r>
          </w:p>
          <w:p w14:paraId="1B042974" w14:textId="77777777" w:rsidR="00542CB0" w:rsidRPr="004108E1" w:rsidRDefault="00542CB0" w:rsidP="00542CB0">
            <w:pPr>
              <w:numPr>
                <w:ilvl w:val="2"/>
                <w:numId w:val="26"/>
              </w:numPr>
              <w:spacing w:after="0"/>
              <w:rPr>
                <w:lang w:val="en-US" w:eastAsia="x-none"/>
              </w:rPr>
            </w:pPr>
            <w:r w:rsidRPr="004108E1">
              <w:rPr>
                <w:lang w:val="en-US" w:eastAsia="x-none"/>
              </w:rPr>
              <w:lastRenderedPageBreak/>
              <w:t>Alt2: UE is configured to report HARQ feedback for PDSCH from earlier COT(s) without an explicit request/trigger</w:t>
            </w:r>
          </w:p>
          <w:p w14:paraId="09B70675" w14:textId="77777777" w:rsidR="00542CB0" w:rsidRPr="004108E1" w:rsidRDefault="00542CB0" w:rsidP="00542CB0">
            <w:pPr>
              <w:numPr>
                <w:ilvl w:val="2"/>
                <w:numId w:val="26"/>
              </w:numPr>
              <w:spacing w:after="0"/>
              <w:rPr>
                <w:lang w:val="en-US" w:eastAsia="x-none"/>
              </w:rPr>
            </w:pPr>
            <w:r w:rsidRPr="004108E1">
              <w:rPr>
                <w:lang w:val="en-US" w:eastAsia="x-none"/>
              </w:rPr>
              <w:t xml:space="preserve">Alt3: by </w:t>
            </w:r>
            <w:r w:rsidRPr="004108E1">
              <w:rPr>
                <w:bCs/>
                <w:lang w:val="en-US" w:eastAsia="x-none"/>
              </w:rPr>
              <w:t>PDSCH-to-HARQ-timing-indicator in the DCI scheduling the PDSCH</w:t>
            </w:r>
          </w:p>
          <w:p w14:paraId="4D7F7CA3" w14:textId="77777777" w:rsidR="00542CB0" w:rsidRPr="004108E1" w:rsidRDefault="00542CB0" w:rsidP="00542CB0">
            <w:pPr>
              <w:numPr>
                <w:ilvl w:val="2"/>
                <w:numId w:val="26"/>
              </w:numPr>
              <w:spacing w:after="0"/>
              <w:rPr>
                <w:lang w:val="en-US" w:eastAsia="x-none"/>
              </w:rPr>
            </w:pPr>
            <w:r w:rsidRPr="004108E1">
              <w:rPr>
                <w:bCs/>
                <w:lang w:val="en-US" w:eastAsia="x-none"/>
              </w:rPr>
              <w:t>Note: the alternatives above are at least applicable for the case where there is no HARQ feedback expected in the same channel occupancy as the PDSCH</w:t>
            </w:r>
          </w:p>
          <w:p w14:paraId="2EDD53A8" w14:textId="77777777" w:rsidR="00542CB0" w:rsidRPr="004108E1" w:rsidRDefault="00542CB0" w:rsidP="00542CB0">
            <w:pPr>
              <w:numPr>
                <w:ilvl w:val="2"/>
                <w:numId w:val="26"/>
              </w:numPr>
              <w:spacing w:after="0"/>
              <w:rPr>
                <w:lang w:val="en-US" w:eastAsia="x-none"/>
              </w:rPr>
            </w:pPr>
            <w:r w:rsidRPr="004108E1">
              <w:rPr>
                <w:bCs/>
                <w:lang w:val="en-US" w:eastAsia="x-none"/>
              </w:rPr>
              <w:t>Study the impact of the above candidate solutions on the HARQ codebook</w:t>
            </w:r>
          </w:p>
          <w:p w14:paraId="704E9E13" w14:textId="77777777" w:rsidR="00542CB0" w:rsidRPr="00542CB0" w:rsidRDefault="00542CB0" w:rsidP="005F28B0">
            <w:pPr>
              <w:rPr>
                <w:lang w:val="en-US" w:eastAsia="ja-JP"/>
              </w:rPr>
            </w:pPr>
          </w:p>
        </w:tc>
      </w:tr>
    </w:tbl>
    <w:p w14:paraId="7B2D6D91" w14:textId="7C6BA6A3" w:rsidR="00542CB0" w:rsidRDefault="00542CB0" w:rsidP="005F28B0">
      <w:pPr>
        <w:rPr>
          <w:lang w:eastAsia="ja-JP"/>
        </w:rPr>
      </w:pPr>
    </w:p>
    <w:p w14:paraId="48E4BC17" w14:textId="37A86BFF" w:rsidR="00BB7238" w:rsidRDefault="00BB7238" w:rsidP="005F28B0">
      <w:pPr>
        <w:rPr>
          <w:lang w:eastAsia="ja-JP"/>
        </w:rPr>
      </w:pPr>
      <w:r>
        <w:rPr>
          <w:lang w:eastAsia="ja-JP"/>
        </w:rPr>
        <w:t>Agreements in #94bis</w:t>
      </w:r>
    </w:p>
    <w:tbl>
      <w:tblPr>
        <w:tblStyle w:val="af9"/>
        <w:tblpPr w:leftFromText="142" w:rightFromText="142" w:vertAnchor="text" w:horzAnchor="margin" w:tblpY="-77"/>
        <w:tblW w:w="0" w:type="auto"/>
        <w:tblLook w:val="04A0" w:firstRow="1" w:lastRow="0" w:firstColumn="1" w:lastColumn="0" w:noHBand="0" w:noVBand="1"/>
      </w:tblPr>
      <w:tblGrid>
        <w:gridCol w:w="9630"/>
      </w:tblGrid>
      <w:tr w:rsidR="00BB7238" w14:paraId="38308A17" w14:textId="77777777" w:rsidTr="008B2960">
        <w:tc>
          <w:tcPr>
            <w:tcW w:w="9630" w:type="dxa"/>
          </w:tcPr>
          <w:p w14:paraId="71386220" w14:textId="77777777" w:rsidR="00BB7238" w:rsidRDefault="00BB7238" w:rsidP="008B2960">
            <w:pPr>
              <w:rPr>
                <w:lang w:val="en-US" w:eastAsia="x-none"/>
              </w:rPr>
            </w:pPr>
            <w:r w:rsidRPr="003F6549">
              <w:rPr>
                <w:highlight w:val="green"/>
                <w:lang w:val="en-US" w:eastAsia="x-none"/>
              </w:rPr>
              <w:t>Agreement:</w:t>
            </w:r>
          </w:p>
          <w:p w14:paraId="1B19647B" w14:textId="77777777" w:rsidR="00BB7238" w:rsidRPr="005F28B0" w:rsidRDefault="00BB7238" w:rsidP="008B2960">
            <w:pPr>
              <w:pStyle w:val="aff1"/>
              <w:adjustRightInd w:val="0"/>
              <w:snapToGrid w:val="0"/>
              <w:ind w:leftChars="0" w:left="0"/>
              <w:contextualSpacing/>
              <w:jc w:val="both"/>
              <w:rPr>
                <w:rFonts w:eastAsia="Times New Roman"/>
                <w:bCs/>
                <w:color w:val="000000"/>
                <w:kern w:val="2"/>
              </w:rPr>
            </w:pPr>
            <w:r>
              <w:t>A</w:t>
            </w:r>
            <w:r w:rsidRPr="0061477C">
              <w:t xml:space="preserve"> gap of </w:t>
            </w:r>
            <w:r>
              <w:t xml:space="preserve">up to </w:t>
            </w:r>
            <w:r w:rsidRPr="0061477C">
              <w:t>16 us should be allowed between the end of the DL transmission and the immediate transmission of feedback to accommodate for the hardware turnaround time</w:t>
            </w:r>
          </w:p>
        </w:tc>
      </w:tr>
    </w:tbl>
    <w:p w14:paraId="5343F5C5" w14:textId="6AF49DE5" w:rsidR="00BB7238" w:rsidRDefault="00BB7238" w:rsidP="005F28B0">
      <w:pPr>
        <w:rPr>
          <w:lang w:eastAsia="ja-JP"/>
        </w:rPr>
      </w:pPr>
    </w:p>
    <w:p w14:paraId="363F26F5" w14:textId="06BC2B12" w:rsidR="00BC14F5" w:rsidRDefault="00BC14F5" w:rsidP="00BC14F5">
      <w:pPr>
        <w:rPr>
          <w:lang w:eastAsia="ja-JP"/>
        </w:rPr>
      </w:pPr>
      <w:r>
        <w:rPr>
          <w:lang w:eastAsia="ja-JP"/>
        </w:rPr>
        <w:t>Agreement in RAN1#95:</w:t>
      </w:r>
    </w:p>
    <w:tbl>
      <w:tblPr>
        <w:tblStyle w:val="af9"/>
        <w:tblW w:w="0" w:type="auto"/>
        <w:tblLook w:val="04A0" w:firstRow="1" w:lastRow="0" w:firstColumn="1" w:lastColumn="0" w:noHBand="0" w:noVBand="1"/>
      </w:tblPr>
      <w:tblGrid>
        <w:gridCol w:w="9630"/>
      </w:tblGrid>
      <w:tr w:rsidR="00BC14F5" w:rsidRPr="0070310F" w14:paraId="7A6EEAD3" w14:textId="77777777" w:rsidTr="00D1515C">
        <w:tc>
          <w:tcPr>
            <w:tcW w:w="9630" w:type="dxa"/>
          </w:tcPr>
          <w:p w14:paraId="2FC64F7C" w14:textId="77777777" w:rsidR="00BC14F5" w:rsidRPr="003411CE" w:rsidRDefault="00BC14F5" w:rsidP="00D1515C">
            <w:pPr>
              <w:rPr>
                <w:lang w:val="en-US" w:eastAsia="x-none"/>
              </w:rPr>
            </w:pPr>
            <w:r w:rsidRPr="003411CE">
              <w:rPr>
                <w:highlight w:val="green"/>
                <w:lang w:val="en-US" w:eastAsia="x-none"/>
              </w:rPr>
              <w:t>Agreement</w:t>
            </w:r>
            <w:r w:rsidRPr="003411CE">
              <w:rPr>
                <w:rFonts w:hint="eastAsia"/>
                <w:highlight w:val="green"/>
                <w:lang w:val="en-US" w:eastAsia="x-none"/>
              </w:rPr>
              <w:t>:</w:t>
            </w:r>
          </w:p>
          <w:p w14:paraId="65E410A7" w14:textId="77777777" w:rsidR="00BC14F5" w:rsidRPr="00CB2067" w:rsidRDefault="00BC14F5" w:rsidP="00D1515C">
            <w:pPr>
              <w:rPr>
                <w:lang w:val="en-US" w:eastAsia="x-none"/>
              </w:rPr>
            </w:pPr>
            <w:r w:rsidRPr="003411CE">
              <w:rPr>
                <w:bCs/>
                <w:lang w:val="en-US" w:eastAsia="x-none"/>
              </w:rPr>
              <w:t>Introduce</w:t>
            </w:r>
            <w:r w:rsidRPr="003411CE">
              <w:rPr>
                <w:lang w:val="en-US" w:eastAsia="x-none"/>
              </w:rPr>
              <w:t xml:space="preserve"> signaling a value of the </w:t>
            </w:r>
            <w:r w:rsidRPr="003411CE">
              <w:rPr>
                <w:bCs/>
                <w:lang w:val="en-US" w:eastAsia="x-none"/>
              </w:rPr>
              <w:t>PDSCH-to-HARQ-timing-indicator in the DCI scheduling the PDSCH that tells the UE that the timing and resource for HARQ-ACK feedback for the corresponding PDSCH will be determined later.</w:t>
            </w:r>
          </w:p>
          <w:p w14:paraId="795FB0E1" w14:textId="77777777" w:rsidR="00BC14F5" w:rsidRPr="003411CE" w:rsidRDefault="00BC14F5" w:rsidP="00D1515C">
            <w:pPr>
              <w:rPr>
                <w:lang w:val="en-US" w:eastAsia="x-none"/>
              </w:rPr>
            </w:pPr>
            <w:r w:rsidRPr="003411CE">
              <w:rPr>
                <w:highlight w:val="green"/>
                <w:lang w:val="en-US" w:eastAsia="x-none"/>
              </w:rPr>
              <w:t>Agreement</w:t>
            </w:r>
            <w:r w:rsidRPr="003411CE">
              <w:rPr>
                <w:rFonts w:hint="eastAsia"/>
                <w:highlight w:val="green"/>
                <w:lang w:val="en-US" w:eastAsia="x-none"/>
              </w:rPr>
              <w:t>:</w:t>
            </w:r>
          </w:p>
          <w:p w14:paraId="67119C40" w14:textId="77777777" w:rsidR="00BC14F5" w:rsidRPr="003411CE" w:rsidRDefault="00BC14F5" w:rsidP="00D1515C">
            <w:pPr>
              <w:rPr>
                <w:lang w:val="en-US" w:eastAsia="x-none"/>
              </w:rPr>
            </w:pPr>
            <w:r w:rsidRPr="003411CE">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w:t>
            </w:r>
          </w:p>
          <w:p w14:paraId="29A42E79" w14:textId="77777777" w:rsidR="00BC14F5" w:rsidRDefault="00BC14F5" w:rsidP="00D1515C">
            <w:pPr>
              <w:numPr>
                <w:ilvl w:val="0"/>
                <w:numId w:val="33"/>
              </w:numPr>
              <w:spacing w:after="0"/>
              <w:rPr>
                <w:lang w:val="en-US" w:eastAsia="x-none"/>
              </w:rPr>
            </w:pPr>
            <w:r w:rsidRPr="003411CE">
              <w:rPr>
                <w:lang w:val="en-US" w:eastAsia="x-none"/>
              </w:rPr>
              <w:t>Potential enhancements for such type of operation, e.g. by possibly pre-configured or pre-determined uplink transmissions for reducing signaling overhead for these transmissions, may be beneficial.</w:t>
            </w:r>
          </w:p>
          <w:p w14:paraId="1A97AF07" w14:textId="77777777" w:rsidR="00BC14F5" w:rsidRPr="00CB2067" w:rsidRDefault="00BC14F5" w:rsidP="00D1515C">
            <w:pPr>
              <w:spacing w:after="0"/>
              <w:rPr>
                <w:lang w:val="en-US" w:eastAsia="x-none"/>
              </w:rPr>
            </w:pPr>
          </w:p>
          <w:p w14:paraId="48225591" w14:textId="77777777" w:rsidR="00BC14F5" w:rsidRDefault="00BC14F5" w:rsidP="00D1515C">
            <w:pPr>
              <w:rPr>
                <w:lang w:eastAsia="x-none"/>
              </w:rPr>
            </w:pPr>
            <w:r w:rsidRPr="000C436F">
              <w:rPr>
                <w:highlight w:val="green"/>
                <w:lang w:eastAsia="x-none"/>
              </w:rPr>
              <w:t>Agreement:</w:t>
            </w:r>
          </w:p>
          <w:p w14:paraId="68397417" w14:textId="77777777" w:rsidR="00BC14F5" w:rsidRPr="00CB2067" w:rsidRDefault="00BC14F5" w:rsidP="00D1515C">
            <w:pPr>
              <w:rPr>
                <w:lang w:val="en-US" w:eastAsia="x-none"/>
              </w:rPr>
            </w:pPr>
            <w:r w:rsidRPr="000C436F">
              <w:rPr>
                <w:lang w:val="en-US" w:eastAsia="x-none"/>
              </w:rPr>
              <w:t>Capture the table below in the TR for describing the potential solutions to allow cross-COT HARQ-ACK feedback and multiple oppor</w:t>
            </w:r>
            <w:r>
              <w:rPr>
                <w:lang w:val="en-US" w:eastAsia="x-none"/>
              </w:rPr>
              <w:t>tunities for HARQ-ACK feedback.</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BC14F5" w:rsidRPr="00BC4347" w14:paraId="2A1B1F32" w14:textId="77777777" w:rsidTr="00D1515C">
              <w:tc>
                <w:tcPr>
                  <w:tcW w:w="3069" w:type="dxa"/>
                  <w:tcBorders>
                    <w:bottom w:val="single" w:sz="12" w:space="0" w:color="8EAADB"/>
                  </w:tcBorders>
                  <w:shd w:val="clear" w:color="auto" w:fill="auto"/>
                </w:tcPr>
                <w:p w14:paraId="7F277D14" w14:textId="77777777" w:rsidR="00BC14F5" w:rsidRPr="00BC4347" w:rsidRDefault="00BC14F5" w:rsidP="00D1515C">
                  <w:pPr>
                    <w:rPr>
                      <w:b/>
                      <w:bCs/>
                      <w:color w:val="2F5496"/>
                      <w:lang w:val="en-US" w:eastAsia="x-none"/>
                    </w:rPr>
                  </w:pPr>
                </w:p>
              </w:tc>
              <w:tc>
                <w:tcPr>
                  <w:tcW w:w="3070" w:type="dxa"/>
                  <w:tcBorders>
                    <w:bottom w:val="single" w:sz="12" w:space="0" w:color="8EAADB"/>
                  </w:tcBorders>
                  <w:shd w:val="clear" w:color="auto" w:fill="auto"/>
                </w:tcPr>
                <w:p w14:paraId="28F66998" w14:textId="77777777" w:rsidR="00BC14F5" w:rsidRPr="00BC4347" w:rsidRDefault="00BC14F5" w:rsidP="00D1515C">
                  <w:pPr>
                    <w:rPr>
                      <w:b/>
                      <w:bCs/>
                      <w:color w:val="2F5496"/>
                      <w:lang w:val="en-US" w:eastAsia="x-none"/>
                    </w:rPr>
                  </w:pPr>
                  <w:r w:rsidRPr="00BC4347">
                    <w:rPr>
                      <w:b/>
                      <w:bCs/>
                      <w:color w:val="2F5496"/>
                      <w:lang w:val="en-US" w:eastAsia="x-none"/>
                    </w:rPr>
                    <w:t>C</w:t>
                  </w:r>
                  <w:r w:rsidRPr="00BC4347">
                    <w:rPr>
                      <w:rFonts w:hint="eastAsia"/>
                      <w:b/>
                      <w:bCs/>
                      <w:color w:val="2F5496"/>
                      <w:lang w:val="en-US" w:eastAsia="x-none"/>
                    </w:rPr>
                    <w:t>ross-</w:t>
                  </w:r>
                  <w:r w:rsidRPr="00BC4347">
                    <w:rPr>
                      <w:b/>
                      <w:bCs/>
                      <w:color w:val="2F5496"/>
                      <w:lang w:val="en-US" w:eastAsia="x-none"/>
                    </w:rPr>
                    <w:t>COT HARQ-ACK feedback</w:t>
                  </w:r>
                </w:p>
              </w:tc>
              <w:tc>
                <w:tcPr>
                  <w:tcW w:w="3070" w:type="dxa"/>
                  <w:tcBorders>
                    <w:bottom w:val="single" w:sz="12" w:space="0" w:color="8EAADB"/>
                  </w:tcBorders>
                  <w:shd w:val="clear" w:color="auto" w:fill="auto"/>
                </w:tcPr>
                <w:p w14:paraId="103DB37B" w14:textId="77777777" w:rsidR="00BC14F5" w:rsidRPr="00BC4347" w:rsidRDefault="00BC14F5" w:rsidP="00D1515C">
                  <w:pPr>
                    <w:rPr>
                      <w:b/>
                      <w:bCs/>
                      <w:color w:val="2F5496"/>
                      <w:lang w:val="en-US" w:eastAsia="x-none"/>
                    </w:rPr>
                  </w:pPr>
                  <w:r w:rsidRPr="00BC4347">
                    <w:rPr>
                      <w:rFonts w:hint="eastAsia"/>
                      <w:b/>
                      <w:bCs/>
                      <w:color w:val="2F5496"/>
                      <w:lang w:val="en-US" w:eastAsia="x-none"/>
                    </w:rPr>
                    <w:t xml:space="preserve">Multiple opportunities for </w:t>
                  </w:r>
                  <w:r w:rsidRPr="00BC4347">
                    <w:rPr>
                      <w:b/>
                      <w:bCs/>
                      <w:color w:val="2F5496"/>
                      <w:lang w:val="en-US" w:eastAsia="x-none"/>
                    </w:rPr>
                    <w:t>HARQ-ACK feedback</w:t>
                  </w:r>
                </w:p>
              </w:tc>
            </w:tr>
            <w:tr w:rsidR="00BC14F5" w:rsidRPr="00BC4347" w14:paraId="10786969" w14:textId="77777777" w:rsidTr="00D1515C">
              <w:trPr>
                <w:trHeight w:val="1575"/>
              </w:trPr>
              <w:tc>
                <w:tcPr>
                  <w:tcW w:w="3069" w:type="dxa"/>
                  <w:shd w:val="clear" w:color="auto" w:fill="D9E2F3"/>
                </w:tcPr>
                <w:p w14:paraId="6D888CC4" w14:textId="77777777" w:rsidR="00BC14F5" w:rsidRPr="00BC4347" w:rsidRDefault="00BC14F5" w:rsidP="00D1515C">
                  <w:pPr>
                    <w:rPr>
                      <w:color w:val="2F5496"/>
                      <w:lang w:val="en-US" w:eastAsia="x-none"/>
                    </w:rPr>
                  </w:pPr>
                  <w:r w:rsidRPr="00BC4347">
                    <w:rPr>
                      <w:b/>
                      <w:color w:val="2F5496"/>
                      <w:lang w:val="en-US" w:eastAsia="x-none"/>
                    </w:rPr>
                    <w:t>A</w:t>
                  </w:r>
                  <w:r w:rsidRPr="00BC4347">
                    <w:rPr>
                      <w:rFonts w:hint="eastAsia"/>
                      <w:b/>
                      <w:color w:val="2F5496"/>
                      <w:lang w:val="en-US" w:eastAsia="x-none"/>
                    </w:rPr>
                    <w:t>lt1</w:t>
                  </w:r>
                  <w:r w:rsidRPr="00BC4347">
                    <w:rPr>
                      <w:color w:val="2F5496"/>
                      <w:lang w:val="en-US" w:eastAsia="x-none"/>
                    </w:rPr>
                    <w:t xml:space="preserve">: </w:t>
                  </w:r>
                  <w:proofErr w:type="spellStart"/>
                  <w:r w:rsidRPr="00BC4347">
                    <w:rPr>
                      <w:color w:val="2F5496"/>
                      <w:lang w:val="en-US" w:eastAsia="x-none"/>
                    </w:rPr>
                    <w:t>gNB</w:t>
                  </w:r>
                  <w:proofErr w:type="spellEnd"/>
                  <w:r w:rsidRPr="00BC4347">
                    <w:rPr>
                      <w:color w:val="2F5496"/>
                      <w:lang w:val="en-US" w:eastAsia="x-none"/>
                    </w:rPr>
                    <w:t xml:space="preserve"> requests/triggers feedback for PDSCH from earlier COT(s) or additional reporting of earlier HARQ feedback, where </w:t>
                  </w:r>
                  <w:r w:rsidRPr="00BC4347">
                    <w:rPr>
                      <w:bCs/>
                      <w:color w:val="2F5496"/>
                      <w:lang w:val="en-US" w:eastAsia="x-none"/>
                    </w:rPr>
                    <w:t>the exact HARQ feedback timing and resource is provided to the UE in another DCI (in the same or in another COT)</w:t>
                  </w:r>
                </w:p>
              </w:tc>
              <w:tc>
                <w:tcPr>
                  <w:tcW w:w="6140" w:type="dxa"/>
                  <w:gridSpan w:val="2"/>
                  <w:shd w:val="clear" w:color="auto" w:fill="D9E2F3"/>
                </w:tcPr>
                <w:p w14:paraId="2A8D1F9C" w14:textId="77777777" w:rsidR="00BC14F5" w:rsidRPr="00BC4347" w:rsidRDefault="00BC14F5" w:rsidP="00D1515C">
                  <w:pPr>
                    <w:rPr>
                      <w:color w:val="2F5496"/>
                      <w:lang w:val="en-US" w:eastAsia="x-none"/>
                    </w:rPr>
                  </w:pPr>
                  <w:r w:rsidRPr="00BC4347">
                    <w:rPr>
                      <w:b/>
                      <w:color w:val="2F5496"/>
                      <w:lang w:val="en-US" w:eastAsia="x-none"/>
                    </w:rPr>
                    <w:t>Alt1a</w:t>
                  </w:r>
                  <w:r w:rsidRPr="00BC4347">
                    <w:rPr>
                      <w:color w:val="2F5496"/>
                      <w:lang w:val="en-US" w:eastAsia="x-none"/>
                    </w:rPr>
                    <w:t>: request/trigger reporting of HARQ feedback for earlier COT(s) or additional reporting of earlier HARQ feedback without explicit signaling of HARQ process ID</w:t>
                  </w:r>
                  <w:r w:rsidRPr="00BC4347">
                    <w:rPr>
                      <w:rFonts w:hint="eastAsia"/>
                      <w:color w:val="2F5496"/>
                      <w:lang w:val="en-US" w:eastAsia="x-none"/>
                    </w:rPr>
                    <w:t xml:space="preserve">, </w:t>
                  </w:r>
                  <w:r w:rsidRPr="00BC4347">
                    <w:rPr>
                      <w:color w:val="2F5496"/>
                      <w:lang w:val="en-US" w:eastAsia="x-none"/>
                    </w:rPr>
                    <w:t>possibly along with other HARQ feedback reports (e.g. for the current COT)</w:t>
                  </w:r>
                </w:p>
                <w:p w14:paraId="03026670" w14:textId="77777777" w:rsidR="00BC14F5" w:rsidRPr="00BC4347" w:rsidRDefault="00BC14F5" w:rsidP="00D1515C">
                  <w:pPr>
                    <w:rPr>
                      <w:color w:val="2F5496"/>
                      <w:lang w:val="en-US" w:eastAsia="x-none"/>
                    </w:rPr>
                  </w:pPr>
                </w:p>
                <w:p w14:paraId="0E208419" w14:textId="77777777" w:rsidR="00BC14F5" w:rsidRPr="00BC4347" w:rsidRDefault="00BC14F5" w:rsidP="00D1515C">
                  <w:pPr>
                    <w:rPr>
                      <w:color w:val="2F5496"/>
                      <w:lang w:val="en-US" w:eastAsia="x-none"/>
                    </w:rPr>
                  </w:pPr>
                  <w:r w:rsidRPr="00BC4347">
                    <w:rPr>
                      <w:b/>
                      <w:color w:val="2F5496"/>
                      <w:lang w:val="en-US" w:eastAsia="x-none"/>
                    </w:rPr>
                    <w:t>Alt1b</w:t>
                  </w:r>
                  <w:r w:rsidRPr="00BC4347">
                    <w:rPr>
                      <w:color w:val="2F5496"/>
                      <w:lang w:val="en-US" w:eastAsia="x-none"/>
                    </w:rPr>
                    <w:t>: request/trigger reporting for a set of HARQ processes, either for all configured HARQ processes (e.g. group feedback), or for a set of HARQ process IDs or HARQ process ID groups</w:t>
                  </w:r>
                </w:p>
              </w:tc>
            </w:tr>
            <w:tr w:rsidR="00BC14F5" w:rsidRPr="00BC4347" w14:paraId="3048D8AF" w14:textId="77777777" w:rsidTr="00D1515C">
              <w:trPr>
                <w:trHeight w:val="984"/>
              </w:trPr>
              <w:tc>
                <w:tcPr>
                  <w:tcW w:w="3069" w:type="dxa"/>
                  <w:shd w:val="clear" w:color="auto" w:fill="auto"/>
                </w:tcPr>
                <w:p w14:paraId="76709FB5" w14:textId="77777777" w:rsidR="00BC14F5" w:rsidRPr="00BC4347" w:rsidRDefault="00BC14F5" w:rsidP="00D1515C">
                  <w:pPr>
                    <w:rPr>
                      <w:color w:val="2F5496"/>
                      <w:lang w:val="en-US" w:eastAsia="x-none"/>
                    </w:rPr>
                  </w:pPr>
                  <w:r w:rsidRPr="00BC4347">
                    <w:rPr>
                      <w:rFonts w:hint="eastAsia"/>
                      <w:b/>
                      <w:color w:val="2F5496"/>
                      <w:lang w:val="en-US" w:eastAsia="x-none"/>
                    </w:rPr>
                    <w:t>Alt2</w:t>
                  </w:r>
                  <w:r w:rsidRPr="00BC4347">
                    <w:rPr>
                      <w:color w:val="2F5496"/>
                      <w:lang w:val="en-US" w:eastAsia="x-none"/>
                    </w:rPr>
                    <w:t xml:space="preserve">: UE is configured/allowed to report HARQ feedback for PDSCH from earlier COT(s) without an explicit request/trigger </w:t>
                  </w:r>
                </w:p>
              </w:tc>
              <w:tc>
                <w:tcPr>
                  <w:tcW w:w="6140" w:type="dxa"/>
                  <w:gridSpan w:val="2"/>
                  <w:shd w:val="clear" w:color="auto" w:fill="auto"/>
                </w:tcPr>
                <w:p w14:paraId="59ABD64B" w14:textId="77777777" w:rsidR="00BC14F5" w:rsidRPr="00BC4347" w:rsidRDefault="00BC14F5" w:rsidP="00D1515C">
                  <w:pPr>
                    <w:rPr>
                      <w:bCs/>
                      <w:color w:val="2F5496"/>
                      <w:lang w:val="en-US" w:eastAsia="x-none"/>
                    </w:rPr>
                  </w:pPr>
                  <w:r w:rsidRPr="00BC4347">
                    <w:rPr>
                      <w:bCs/>
                      <w:color w:val="2F5496"/>
                      <w:lang w:val="en-US" w:eastAsia="x-none"/>
                    </w:rPr>
                    <w:t>UE autonomously reports UCI with additional information about HARQ processes - e.g. corresponding to PDSCH from earlier COT(s) - that are reported in PUSCH [or PUCCH] along with the HARQ-ACK feedback.</w:t>
                  </w:r>
                </w:p>
              </w:tc>
            </w:tr>
            <w:tr w:rsidR="00BC14F5" w:rsidRPr="00BC4347" w14:paraId="5571613E" w14:textId="77777777" w:rsidTr="00D1515C">
              <w:trPr>
                <w:trHeight w:val="1400"/>
              </w:trPr>
              <w:tc>
                <w:tcPr>
                  <w:tcW w:w="3069" w:type="dxa"/>
                  <w:shd w:val="clear" w:color="auto" w:fill="D9E2F3"/>
                </w:tcPr>
                <w:p w14:paraId="75AD7874" w14:textId="77777777" w:rsidR="00BC14F5" w:rsidRPr="00BC4347" w:rsidRDefault="00BC14F5" w:rsidP="00D1515C">
                  <w:pPr>
                    <w:rPr>
                      <w:bCs/>
                      <w:color w:val="2F5496"/>
                      <w:lang w:val="en-US" w:eastAsia="x-none"/>
                    </w:rPr>
                  </w:pPr>
                  <w:r w:rsidRPr="00BC4347">
                    <w:rPr>
                      <w:rFonts w:hint="eastAsia"/>
                      <w:b/>
                      <w:color w:val="2F5496"/>
                      <w:lang w:val="en-US" w:eastAsia="x-none"/>
                    </w:rPr>
                    <w:lastRenderedPageBreak/>
                    <w:t>Alt3</w:t>
                  </w:r>
                  <w:r w:rsidRPr="00BC4347">
                    <w:rPr>
                      <w:color w:val="2F5496"/>
                      <w:lang w:val="en-US" w:eastAsia="x-none"/>
                    </w:rPr>
                    <w:t xml:space="preserve">: </w:t>
                  </w:r>
                  <w:proofErr w:type="spellStart"/>
                  <w:r w:rsidRPr="00BC4347">
                    <w:rPr>
                      <w:color w:val="2F5496"/>
                      <w:lang w:val="en-US" w:eastAsia="x-none"/>
                    </w:rPr>
                    <w:t>gNB</w:t>
                  </w:r>
                  <w:proofErr w:type="spellEnd"/>
                  <w:r w:rsidRPr="00BC4347">
                    <w:rPr>
                      <w:color w:val="2F5496"/>
                      <w:lang w:val="en-US" w:eastAsia="x-none"/>
                    </w:rPr>
                    <w:t xml:space="preserve"> requests feedback outside the COT by </w:t>
                  </w:r>
                  <w:r w:rsidRPr="00BC4347">
                    <w:rPr>
                      <w:bCs/>
                      <w:color w:val="2F5496"/>
                      <w:lang w:val="en-US" w:eastAsia="x-none"/>
                    </w:rPr>
                    <w:t>PDSCH-to-HARQ-timing-indicator in the DCI scheduling the PDSCH</w:t>
                  </w:r>
                </w:p>
              </w:tc>
              <w:tc>
                <w:tcPr>
                  <w:tcW w:w="3070" w:type="dxa"/>
                  <w:shd w:val="clear" w:color="auto" w:fill="D9E2F3"/>
                </w:tcPr>
                <w:p w14:paraId="1AF2F3E7" w14:textId="77777777" w:rsidR="00BC14F5" w:rsidRPr="00BC4347" w:rsidRDefault="00BC14F5" w:rsidP="00D1515C">
                  <w:pPr>
                    <w:rPr>
                      <w:color w:val="2F5496"/>
                      <w:lang w:val="en-US" w:eastAsia="x-none"/>
                    </w:rPr>
                  </w:pPr>
                  <w:r w:rsidRPr="00BC4347">
                    <w:rPr>
                      <w:bCs/>
                      <w:color w:val="2F5496"/>
                      <w:lang w:val="en-US" w:eastAsia="x-none"/>
                    </w:rPr>
                    <w:t xml:space="preserve">The UE will attempt reporting at the indicated time and resource (e.g. in a UE-initiated channel occupancy), even if the PDSCH-to-HARQ-timing-indicator indicates a slot that falls outside the </w:t>
                  </w:r>
                  <w:proofErr w:type="spellStart"/>
                  <w:r w:rsidRPr="00BC4347">
                    <w:rPr>
                      <w:bCs/>
                      <w:color w:val="2F5496"/>
                      <w:lang w:val="en-US" w:eastAsia="x-none"/>
                    </w:rPr>
                    <w:t>gNB</w:t>
                  </w:r>
                  <w:proofErr w:type="spellEnd"/>
                  <w:r w:rsidRPr="00BC4347">
                    <w:rPr>
                      <w:bCs/>
                      <w:color w:val="2F5496"/>
                      <w:lang w:val="en-US" w:eastAsia="x-none"/>
                    </w:rPr>
                    <w:t>-initiated COT.</w:t>
                  </w:r>
                </w:p>
              </w:tc>
              <w:tc>
                <w:tcPr>
                  <w:tcW w:w="3070" w:type="dxa"/>
                  <w:shd w:val="clear" w:color="auto" w:fill="D9E2F3"/>
                </w:tcPr>
                <w:p w14:paraId="75839ED6" w14:textId="77777777" w:rsidR="00BC14F5" w:rsidRPr="00BC4347" w:rsidRDefault="00BC14F5" w:rsidP="00D1515C">
                  <w:pPr>
                    <w:rPr>
                      <w:color w:val="2F5496"/>
                      <w:lang w:val="en-US" w:eastAsia="x-none"/>
                    </w:rPr>
                  </w:pPr>
                  <w:r w:rsidRPr="00BC4347">
                    <w:rPr>
                      <w:color w:val="2F5496"/>
                      <w:lang w:val="en-US" w:eastAsia="x-none"/>
                    </w:rPr>
                    <w:t xml:space="preserve">Not a solution if </w:t>
                  </w:r>
                  <w:r w:rsidRPr="00BC4347">
                    <w:rPr>
                      <w:bCs/>
                      <w:color w:val="2F5496"/>
                      <w:lang w:val="en-US" w:eastAsia="x-none"/>
                    </w:rPr>
                    <w:t>PDSCH-to-HARQ-timing-indicator can only indicate a single value</w:t>
                  </w:r>
                </w:p>
              </w:tc>
            </w:tr>
            <w:tr w:rsidR="00BC14F5" w:rsidRPr="00BC4347" w14:paraId="58207034" w14:textId="77777777" w:rsidTr="00D1515C">
              <w:trPr>
                <w:trHeight w:val="1118"/>
              </w:trPr>
              <w:tc>
                <w:tcPr>
                  <w:tcW w:w="3069" w:type="dxa"/>
                  <w:shd w:val="clear" w:color="auto" w:fill="auto"/>
                </w:tcPr>
                <w:p w14:paraId="79AC57C5" w14:textId="77777777" w:rsidR="00BC14F5" w:rsidRPr="00BC4347" w:rsidRDefault="00BC14F5" w:rsidP="00D1515C">
                  <w:pPr>
                    <w:rPr>
                      <w:color w:val="2F5496"/>
                      <w:lang w:val="en-US" w:eastAsia="x-none"/>
                    </w:rPr>
                  </w:pPr>
                  <w:r w:rsidRPr="00BC4347">
                    <w:rPr>
                      <w:b/>
                      <w:color w:val="2F5496"/>
                      <w:lang w:val="en-US" w:eastAsia="x-none"/>
                    </w:rPr>
                    <w:t>A</w:t>
                  </w:r>
                  <w:r w:rsidRPr="00BC4347">
                    <w:rPr>
                      <w:rFonts w:hint="eastAsia"/>
                      <w:b/>
                      <w:color w:val="2F5496"/>
                      <w:lang w:val="en-US" w:eastAsia="x-none"/>
                    </w:rPr>
                    <w:t>lt4</w:t>
                  </w:r>
                  <w:r w:rsidRPr="00BC4347">
                    <w:rPr>
                      <w:color w:val="2F5496"/>
                      <w:lang w:val="en-US" w:eastAsia="x-none"/>
                    </w:rPr>
                    <w:t xml:space="preserve">: preconfigured/pre-indicated multiple opportunities in frequency domain in different LBT </w:t>
                  </w:r>
                  <w:proofErr w:type="spellStart"/>
                  <w:r w:rsidRPr="00BC4347">
                    <w:rPr>
                      <w:color w:val="2F5496"/>
                      <w:lang w:val="en-US" w:eastAsia="x-none"/>
                    </w:rPr>
                    <w:t>subbands</w:t>
                  </w:r>
                  <w:proofErr w:type="spellEnd"/>
                </w:p>
              </w:tc>
              <w:tc>
                <w:tcPr>
                  <w:tcW w:w="3070" w:type="dxa"/>
                  <w:shd w:val="clear" w:color="auto" w:fill="auto"/>
                </w:tcPr>
                <w:p w14:paraId="63B00F02" w14:textId="77777777" w:rsidR="00BC14F5" w:rsidRPr="00BC4347" w:rsidRDefault="00BC14F5" w:rsidP="00D1515C">
                  <w:pPr>
                    <w:rPr>
                      <w:color w:val="2F5496"/>
                      <w:lang w:val="en-US" w:eastAsia="x-none"/>
                    </w:rPr>
                  </w:pPr>
                  <w:r w:rsidRPr="00BC4347">
                    <w:rPr>
                      <w:rFonts w:hint="eastAsia"/>
                      <w:color w:val="2F5496"/>
                      <w:lang w:val="en-US" w:eastAsia="x-none"/>
                    </w:rPr>
                    <w:t>Possible</w:t>
                  </w:r>
                  <w:r w:rsidRPr="00BC4347">
                    <w:rPr>
                      <w:color w:val="2F5496"/>
                      <w:lang w:val="en-US" w:eastAsia="x-none"/>
                    </w:rPr>
                    <w:t xml:space="preserve"> if this is combined with Alt1 or Alt2 or Alt3</w:t>
                  </w:r>
                </w:p>
              </w:tc>
              <w:tc>
                <w:tcPr>
                  <w:tcW w:w="3070" w:type="dxa"/>
                  <w:shd w:val="clear" w:color="auto" w:fill="auto"/>
                </w:tcPr>
                <w:p w14:paraId="743CB609" w14:textId="77777777" w:rsidR="00BC14F5" w:rsidRPr="00BC4347" w:rsidRDefault="00BC14F5" w:rsidP="00D1515C">
                  <w:pPr>
                    <w:rPr>
                      <w:color w:val="2F5496"/>
                      <w:lang w:val="en-US" w:eastAsia="x-none"/>
                    </w:rPr>
                  </w:pPr>
                  <w:r w:rsidRPr="00BC4347">
                    <w:rPr>
                      <w:color w:val="2F5496"/>
                      <w:lang w:val="en-US" w:eastAsia="x-none"/>
                    </w:rPr>
                    <w:t>Possible for indicating multiple candidate PUCCH or PUSCH carrying HARQ-ACK feedback</w:t>
                  </w:r>
                </w:p>
              </w:tc>
            </w:tr>
            <w:tr w:rsidR="00BC14F5" w:rsidRPr="00BC4347" w14:paraId="1A765A4D" w14:textId="77777777" w:rsidTr="00D1515C">
              <w:tc>
                <w:tcPr>
                  <w:tcW w:w="3069" w:type="dxa"/>
                  <w:shd w:val="clear" w:color="auto" w:fill="D9E2F3"/>
                </w:tcPr>
                <w:p w14:paraId="6F7D5B52" w14:textId="77777777" w:rsidR="00BC14F5" w:rsidRPr="00BC4347" w:rsidRDefault="00BC14F5" w:rsidP="00D1515C">
                  <w:pPr>
                    <w:rPr>
                      <w:color w:val="2F5496"/>
                      <w:lang w:val="en-US" w:eastAsia="x-none"/>
                    </w:rPr>
                  </w:pPr>
                  <w:r w:rsidRPr="00BC4347">
                    <w:rPr>
                      <w:rFonts w:hint="eastAsia"/>
                      <w:b/>
                      <w:color w:val="2F5496"/>
                      <w:lang w:val="en-US" w:eastAsia="x-none"/>
                    </w:rPr>
                    <w:t>Alt5</w:t>
                  </w:r>
                  <w:r w:rsidRPr="00BC4347">
                    <w:rPr>
                      <w:color w:val="2F5496"/>
                      <w:lang w:val="en-US" w:eastAsia="x-none"/>
                    </w:rPr>
                    <w:t>: preconfigured/pre-indicated multiple opportunities in time domain</w:t>
                  </w:r>
                </w:p>
              </w:tc>
              <w:tc>
                <w:tcPr>
                  <w:tcW w:w="3070" w:type="dxa"/>
                  <w:shd w:val="clear" w:color="auto" w:fill="D9E2F3"/>
                </w:tcPr>
                <w:p w14:paraId="3725503A" w14:textId="77777777" w:rsidR="00BC14F5" w:rsidRPr="00BC4347" w:rsidRDefault="00BC14F5" w:rsidP="00D1515C">
                  <w:pPr>
                    <w:rPr>
                      <w:color w:val="2F5496"/>
                      <w:lang w:val="en-US" w:eastAsia="x-none"/>
                    </w:rPr>
                  </w:pPr>
                  <w:r w:rsidRPr="00BC4347">
                    <w:rPr>
                      <w:bCs/>
                      <w:color w:val="2F5496"/>
                      <w:lang w:val="en-US" w:eastAsia="x-none"/>
                    </w:rPr>
                    <w:t xml:space="preserve">The UE will attempt reporting at the </w:t>
                  </w:r>
                  <w:r w:rsidRPr="00BC4347">
                    <w:rPr>
                      <w:color w:val="2F5496"/>
                      <w:lang w:val="en-US" w:eastAsia="x-none"/>
                    </w:rPr>
                    <w:t>preconfigured/pre-indicated</w:t>
                  </w:r>
                  <w:r w:rsidRPr="00BC4347">
                    <w:rPr>
                      <w:bCs/>
                      <w:color w:val="2F5496"/>
                      <w:lang w:val="en-US" w:eastAsia="x-none"/>
                    </w:rPr>
                    <w:t xml:space="preserve"> times and resources (e.g. in a UE-initiated channel occupancy)</w:t>
                  </w:r>
                </w:p>
              </w:tc>
              <w:tc>
                <w:tcPr>
                  <w:tcW w:w="3070" w:type="dxa"/>
                  <w:shd w:val="clear" w:color="auto" w:fill="D9E2F3"/>
                </w:tcPr>
                <w:p w14:paraId="2D83893A" w14:textId="77777777" w:rsidR="00BC14F5" w:rsidRPr="00BC4347" w:rsidRDefault="00BC14F5" w:rsidP="00D1515C">
                  <w:pPr>
                    <w:rPr>
                      <w:color w:val="2F5496"/>
                      <w:lang w:val="en-US" w:eastAsia="x-none"/>
                    </w:rPr>
                  </w:pPr>
                  <w:r w:rsidRPr="00BC4347">
                    <w:rPr>
                      <w:color w:val="2F5496"/>
                      <w:lang w:val="en-US" w:eastAsia="x-none"/>
                    </w:rPr>
                    <w:t>Alt5a: Multiple candidate opportunities by providing multiple timings in PDSCH-to-HARQ-timing-indicator and/or other DCI fields</w:t>
                  </w:r>
                </w:p>
                <w:p w14:paraId="2A344CD7" w14:textId="77777777" w:rsidR="00BC14F5" w:rsidRPr="00BC4347" w:rsidRDefault="00BC14F5" w:rsidP="00D1515C">
                  <w:pPr>
                    <w:rPr>
                      <w:color w:val="2F5496"/>
                      <w:lang w:val="en-US" w:eastAsia="x-none"/>
                    </w:rPr>
                  </w:pPr>
                </w:p>
                <w:p w14:paraId="3374949F" w14:textId="77777777" w:rsidR="00BC14F5" w:rsidRPr="00BC4347" w:rsidRDefault="00BC14F5" w:rsidP="00D1515C">
                  <w:pPr>
                    <w:rPr>
                      <w:color w:val="2F5496"/>
                      <w:lang w:val="en-US" w:eastAsia="x-none"/>
                    </w:rPr>
                  </w:pPr>
                  <w:r w:rsidRPr="00BC4347">
                    <w:rPr>
                      <w:color w:val="2F5496"/>
                      <w:lang w:val="en-US" w:eastAsia="x-none"/>
                    </w:rPr>
                    <w:t>Alt5b: Multiple candidate slots in a window with size configured by RRC. There could be some activation/deactivation by DCI</w:t>
                  </w:r>
                </w:p>
              </w:tc>
            </w:tr>
          </w:tbl>
          <w:p w14:paraId="4972FAD6" w14:textId="77777777" w:rsidR="00BC14F5" w:rsidRDefault="00BC14F5" w:rsidP="00D1515C">
            <w:pPr>
              <w:rPr>
                <w:lang w:eastAsia="x-none"/>
              </w:rPr>
            </w:pPr>
          </w:p>
          <w:p w14:paraId="5B0DCCCA" w14:textId="77777777" w:rsidR="00BC14F5" w:rsidRPr="00D11BC7" w:rsidRDefault="00BC14F5" w:rsidP="00D1515C">
            <w:pPr>
              <w:rPr>
                <w:highlight w:val="green"/>
                <w:lang w:eastAsia="x-none"/>
              </w:rPr>
            </w:pPr>
            <w:r w:rsidRPr="00D11BC7">
              <w:rPr>
                <w:highlight w:val="green"/>
                <w:lang w:eastAsia="x-none"/>
              </w:rPr>
              <w:t>Agreement:</w:t>
            </w:r>
          </w:p>
          <w:p w14:paraId="3B76548C" w14:textId="77777777" w:rsidR="00BC14F5" w:rsidRPr="00CB2067" w:rsidRDefault="00BC14F5" w:rsidP="00D1515C">
            <w:pPr>
              <w:rPr>
                <w:lang w:val="en-US" w:eastAsia="x-none"/>
              </w:rPr>
            </w:pPr>
            <w:r>
              <w:rPr>
                <w:lang w:val="en-US" w:eastAsia="x-none"/>
              </w:rPr>
              <w:t xml:space="preserve">The previous agreement on multi-TTI scheduling implies that </w:t>
            </w:r>
            <w:r w:rsidRPr="00FA7649">
              <w:rPr>
                <w:lang w:val="en-US" w:eastAsia="x-none"/>
              </w:rPr>
              <w:t xml:space="preserve">NR-U </w:t>
            </w:r>
            <w:r>
              <w:rPr>
                <w:lang w:val="en-US" w:eastAsia="x-none"/>
              </w:rPr>
              <w:t xml:space="preserve">should at least support </w:t>
            </w:r>
            <w:r w:rsidRPr="00FA7649">
              <w:rPr>
                <w:lang w:val="en-US" w:eastAsia="x-none"/>
              </w:rPr>
              <w:t xml:space="preserve">scheduling multiple TBs </w:t>
            </w:r>
            <w:r>
              <w:rPr>
                <w:lang w:val="en-US" w:eastAsia="x-none"/>
              </w:rPr>
              <w:t xml:space="preserve">with different HARQ process IDs </w:t>
            </w:r>
            <w:r w:rsidRPr="00FA7649">
              <w:rPr>
                <w:lang w:val="en-US" w:eastAsia="x-none"/>
              </w:rPr>
              <w:t>in multiple slots</w:t>
            </w:r>
            <w:r>
              <w:rPr>
                <w:lang w:val="en-US" w:eastAsia="x-none"/>
              </w:rPr>
              <w:t xml:space="preserve"> </w:t>
            </w:r>
            <w:r w:rsidRPr="00FA7649">
              <w:rPr>
                <w:lang w:val="en-US" w:eastAsia="x-none"/>
              </w:rPr>
              <w:t>using a single UL grant</w:t>
            </w:r>
          </w:p>
          <w:p w14:paraId="45965FAB" w14:textId="77777777" w:rsidR="00BC14F5" w:rsidRDefault="00BC14F5" w:rsidP="00D1515C">
            <w:pPr>
              <w:rPr>
                <w:lang w:val="en-US" w:eastAsia="x-none"/>
              </w:rPr>
            </w:pPr>
            <w:r w:rsidRPr="00C55263">
              <w:rPr>
                <w:highlight w:val="green"/>
                <w:lang w:val="en-US" w:eastAsia="x-none"/>
              </w:rPr>
              <w:t>Agreement:</w:t>
            </w:r>
          </w:p>
          <w:p w14:paraId="34E0F0AC" w14:textId="77777777" w:rsidR="00BC14F5" w:rsidRPr="00CB2067" w:rsidRDefault="00BC14F5" w:rsidP="00D1515C">
            <w:pPr>
              <w:rPr>
                <w:b/>
                <w:u w:val="single"/>
                <w:lang w:val="en-US" w:eastAsia="x-none"/>
              </w:rPr>
            </w:pPr>
            <w:r w:rsidRPr="00D11BC7">
              <w:rPr>
                <w:lang w:val="en-US" w:eastAsia="x-none"/>
              </w:rPr>
              <w:t>In case of CBG-based HARQ and LBT category 4, enhancements for defining how to adjust the contention window size (CWS) based on TB-level HARQ-ACK and CBG-level HARQ-ACK</w:t>
            </w:r>
            <w:r>
              <w:rPr>
                <w:lang w:val="en-US" w:eastAsia="x-none"/>
              </w:rPr>
              <w:t xml:space="preserve"> would be beneficial.</w:t>
            </w:r>
          </w:p>
          <w:p w14:paraId="347DD040" w14:textId="77777777" w:rsidR="00BC14F5" w:rsidRDefault="00BC14F5" w:rsidP="00D1515C">
            <w:pPr>
              <w:rPr>
                <w:lang w:val="en-US" w:eastAsia="x-none"/>
              </w:rPr>
            </w:pPr>
            <w:r w:rsidRPr="00C31253">
              <w:rPr>
                <w:highlight w:val="green"/>
                <w:lang w:val="en-US" w:eastAsia="x-none"/>
              </w:rPr>
              <w:t>Agreement:</w:t>
            </w:r>
          </w:p>
          <w:p w14:paraId="59AAF1F4" w14:textId="77777777" w:rsidR="00BC14F5" w:rsidRDefault="00BC14F5" w:rsidP="00D1515C">
            <w:pPr>
              <w:rPr>
                <w:lang w:val="en-US" w:eastAsia="x-none"/>
              </w:rPr>
            </w:pPr>
            <w:r>
              <w:rPr>
                <w:lang w:val="en-US" w:eastAsia="x-none"/>
              </w:rPr>
              <w:t>Capture the following in the TR:</w:t>
            </w:r>
          </w:p>
          <w:p w14:paraId="0E10FB28" w14:textId="77777777" w:rsidR="00BC14F5" w:rsidRDefault="00BC14F5" w:rsidP="00D1515C">
            <w:pPr>
              <w:numPr>
                <w:ilvl w:val="0"/>
                <w:numId w:val="32"/>
              </w:numPr>
              <w:spacing w:after="0"/>
              <w:ind w:left="720"/>
              <w:rPr>
                <w:bCs/>
                <w:lang w:eastAsia="x-none"/>
              </w:rPr>
            </w:pPr>
            <w:r w:rsidRPr="007A055B">
              <w:rPr>
                <w:bCs/>
                <w:lang w:eastAsia="x-none"/>
              </w:rPr>
              <w:t xml:space="preserve">A possible enhancement for dynamic HARQ codebook is to support </w:t>
            </w:r>
            <w:r>
              <w:rPr>
                <w:bCs/>
                <w:lang w:eastAsia="x-none"/>
              </w:rPr>
              <w:t xml:space="preserve">a </w:t>
            </w:r>
            <w:r w:rsidRPr="007A055B">
              <w:rPr>
                <w:bCs/>
                <w:lang w:eastAsia="x-none"/>
              </w:rPr>
              <w:t>larger DAI field to accommodate for possibly missing more than 4 PDSCH transmissions</w:t>
            </w:r>
            <w:r>
              <w:rPr>
                <w:bCs/>
                <w:lang w:eastAsia="x-none"/>
              </w:rPr>
              <w:t>, which is more likely to occur on unlicensed spectrum</w:t>
            </w:r>
          </w:p>
          <w:p w14:paraId="3C7FD505" w14:textId="77777777" w:rsidR="00BC14F5" w:rsidRPr="007A055B" w:rsidRDefault="00BC14F5" w:rsidP="00D1515C">
            <w:pPr>
              <w:numPr>
                <w:ilvl w:val="0"/>
                <w:numId w:val="32"/>
              </w:numPr>
              <w:spacing w:after="0"/>
              <w:ind w:left="720"/>
              <w:rPr>
                <w:bCs/>
                <w:lang w:eastAsia="x-none"/>
              </w:rPr>
            </w:pPr>
            <w:r>
              <w:rPr>
                <w:lang w:eastAsia="x-none"/>
              </w:rPr>
              <w:t>E</w:t>
            </w:r>
            <w:r w:rsidRPr="000C436F">
              <w:rPr>
                <w:lang w:eastAsia="x-none"/>
              </w:rPr>
              <w:t>nhancement</w:t>
            </w:r>
            <w:r>
              <w:rPr>
                <w:lang w:eastAsia="x-none"/>
              </w:rPr>
              <w:t>s</w:t>
            </w:r>
            <w:r w:rsidRPr="000C436F">
              <w:rPr>
                <w:lang w:eastAsia="x-none"/>
              </w:rPr>
              <w:t xml:space="preserve"> </w:t>
            </w:r>
            <w:r>
              <w:rPr>
                <w:lang w:eastAsia="x-none"/>
              </w:rPr>
              <w:t>are</w:t>
            </w:r>
            <w:r w:rsidRPr="000C436F">
              <w:rPr>
                <w:lang w:eastAsia="x-none"/>
              </w:rPr>
              <w:t xml:space="preserve"> </w:t>
            </w:r>
            <w:r>
              <w:rPr>
                <w:lang w:eastAsia="x-none"/>
              </w:rPr>
              <w:t>necessary</w:t>
            </w:r>
            <w:r w:rsidRPr="000C436F">
              <w:rPr>
                <w:lang w:eastAsia="x-none"/>
              </w:rPr>
              <w:t xml:space="preserve"> for aligning the dynamic HARQ codebook between UE and </w:t>
            </w:r>
            <w:proofErr w:type="spellStart"/>
            <w:r w:rsidRPr="000C436F">
              <w:rPr>
                <w:lang w:eastAsia="x-none"/>
              </w:rPr>
              <w:t>gNB</w:t>
            </w:r>
            <w:proofErr w:type="spellEnd"/>
          </w:p>
          <w:p w14:paraId="0F1BF018" w14:textId="77777777" w:rsidR="00BC14F5" w:rsidRPr="00C270BF" w:rsidRDefault="00BC14F5" w:rsidP="00D1515C">
            <w:pPr>
              <w:numPr>
                <w:ilvl w:val="0"/>
                <w:numId w:val="32"/>
              </w:numPr>
              <w:spacing w:after="0"/>
              <w:ind w:left="720"/>
              <w:rPr>
                <w:bCs/>
                <w:lang w:eastAsia="x-none"/>
              </w:rPr>
            </w:pPr>
            <w:r w:rsidRPr="00C270BF">
              <w:rPr>
                <w:bCs/>
                <w:lang w:eastAsia="x-none"/>
              </w:rPr>
              <w:t>Alt. 1</w:t>
            </w:r>
            <w:r>
              <w:rPr>
                <w:lang w:eastAsia="x-none"/>
              </w:rPr>
              <w:t xml:space="preserve"> </w:t>
            </w:r>
            <w:r w:rsidRPr="000C436F">
              <w:rPr>
                <w:lang w:eastAsia="x-none"/>
              </w:rPr>
              <w:t xml:space="preserve">allows </w:t>
            </w:r>
            <w:r>
              <w:rPr>
                <w:lang w:eastAsia="x-none"/>
              </w:rPr>
              <w:t xml:space="preserve">triggering/requesting a report for </w:t>
            </w:r>
            <w:r w:rsidRPr="000C436F">
              <w:rPr>
                <w:lang w:eastAsia="x-none"/>
              </w:rPr>
              <w:t xml:space="preserve">missed or unreported HARQ-ACK feedback in case of LBT failure for </w:t>
            </w:r>
            <w:r>
              <w:rPr>
                <w:lang w:eastAsia="x-none"/>
              </w:rPr>
              <w:t>PUCCH/PUSCH transmission</w:t>
            </w:r>
            <w:r w:rsidRPr="000C436F">
              <w:rPr>
                <w:lang w:eastAsia="x-none"/>
              </w:rPr>
              <w:t xml:space="preserve">, or in case of PUCCH/PUSCH detection failure at </w:t>
            </w:r>
            <w:proofErr w:type="spellStart"/>
            <w:r w:rsidRPr="000C436F">
              <w:rPr>
                <w:lang w:eastAsia="x-none"/>
              </w:rPr>
              <w:t>gNB</w:t>
            </w:r>
            <w:proofErr w:type="spellEnd"/>
            <w:r w:rsidRPr="000C436F">
              <w:rPr>
                <w:lang w:eastAsia="x-none"/>
              </w:rPr>
              <w:t xml:space="preserve">, or in case of PDCCH detection failure at UE, or in case of HARQ-ACK feedback </w:t>
            </w:r>
            <w:r>
              <w:rPr>
                <w:lang w:eastAsia="x-none"/>
              </w:rPr>
              <w:t>pending from</w:t>
            </w:r>
            <w:r w:rsidRPr="000C436F">
              <w:rPr>
                <w:lang w:eastAsia="x-none"/>
              </w:rPr>
              <w:t xml:space="preserve"> earlier COT(s)</w:t>
            </w:r>
          </w:p>
          <w:p w14:paraId="3DD682F0" w14:textId="77777777" w:rsidR="00BC14F5" w:rsidRPr="00C270BF" w:rsidRDefault="00BC14F5" w:rsidP="00D1515C">
            <w:pPr>
              <w:numPr>
                <w:ilvl w:val="0"/>
                <w:numId w:val="32"/>
              </w:numPr>
              <w:spacing w:after="0"/>
              <w:ind w:left="720"/>
              <w:rPr>
                <w:bCs/>
                <w:lang w:eastAsia="x-none"/>
              </w:rPr>
            </w:pPr>
            <w:r>
              <w:rPr>
                <w:lang w:eastAsia="x-none"/>
              </w:rPr>
              <w:t>Alt. 2</w:t>
            </w:r>
            <w:r w:rsidRPr="000C436F">
              <w:rPr>
                <w:lang w:eastAsia="x-none"/>
              </w:rPr>
              <w:t xml:space="preserve"> </w:t>
            </w:r>
            <w:r>
              <w:rPr>
                <w:lang w:eastAsia="x-none"/>
              </w:rPr>
              <w:t>a</w:t>
            </w:r>
            <w:r w:rsidRPr="000C436F">
              <w:rPr>
                <w:lang w:eastAsia="x-none"/>
              </w:rPr>
              <w:t xml:space="preserve">llows reporting </w:t>
            </w:r>
            <w:r>
              <w:rPr>
                <w:lang w:eastAsia="x-none"/>
              </w:rPr>
              <w:t xml:space="preserve">unreported </w:t>
            </w:r>
            <w:r w:rsidRPr="000C436F">
              <w:rPr>
                <w:lang w:eastAsia="x-none"/>
              </w:rPr>
              <w:t xml:space="preserve">HARQ-ACK feedback in case of LBT failure for </w:t>
            </w:r>
            <w:r>
              <w:rPr>
                <w:lang w:eastAsia="x-none"/>
              </w:rPr>
              <w:t xml:space="preserve">PUCCH/PUSCH transmission, </w:t>
            </w:r>
            <w:r w:rsidRPr="000C436F">
              <w:rPr>
                <w:lang w:eastAsia="x-none"/>
              </w:rPr>
              <w:t xml:space="preserve">or in case of HARQ-ACK feedback </w:t>
            </w:r>
            <w:r>
              <w:rPr>
                <w:lang w:eastAsia="x-none"/>
              </w:rPr>
              <w:t>pending from</w:t>
            </w:r>
            <w:r w:rsidRPr="000C436F">
              <w:rPr>
                <w:lang w:eastAsia="x-none"/>
              </w:rPr>
              <w:t xml:space="preserve"> earlier COT(s)</w:t>
            </w:r>
          </w:p>
          <w:p w14:paraId="696A1032" w14:textId="77777777" w:rsidR="00BC14F5" w:rsidRDefault="00BC14F5" w:rsidP="00D1515C">
            <w:pPr>
              <w:spacing w:after="0"/>
              <w:rPr>
                <w:lang w:eastAsia="ja-JP"/>
              </w:rPr>
            </w:pPr>
          </w:p>
          <w:p w14:paraId="24FC344B" w14:textId="77777777" w:rsidR="00BC14F5" w:rsidRPr="00893F4B" w:rsidRDefault="00BC14F5" w:rsidP="00D1515C">
            <w:pPr>
              <w:spacing w:after="0"/>
              <w:rPr>
                <w:lang w:eastAsia="ja-JP"/>
              </w:rPr>
            </w:pPr>
          </w:p>
        </w:tc>
      </w:tr>
    </w:tbl>
    <w:p w14:paraId="455A5A18" w14:textId="752DFDE1" w:rsidR="00BC14F5" w:rsidRDefault="00BC14F5" w:rsidP="005F28B0">
      <w:pPr>
        <w:rPr>
          <w:lang w:eastAsia="ja-JP"/>
        </w:rPr>
      </w:pPr>
    </w:p>
    <w:p w14:paraId="00719ACD" w14:textId="12808802" w:rsidR="000F4F71" w:rsidRDefault="000F4F71" w:rsidP="005F28B0">
      <w:pPr>
        <w:rPr>
          <w:lang w:eastAsia="ja-JP"/>
        </w:rPr>
      </w:pPr>
      <w:r>
        <w:rPr>
          <w:lang w:eastAsia="ja-JP"/>
        </w:rPr>
        <w:t>A</w:t>
      </w:r>
      <w:r>
        <w:rPr>
          <w:rFonts w:hint="eastAsia"/>
          <w:lang w:eastAsia="ja-JP"/>
        </w:rPr>
        <w:t>g</w:t>
      </w:r>
      <w:r>
        <w:rPr>
          <w:lang w:eastAsia="ja-JP"/>
        </w:rPr>
        <w:t>reements in RAN1 AH1901:</w:t>
      </w:r>
    </w:p>
    <w:tbl>
      <w:tblPr>
        <w:tblStyle w:val="af9"/>
        <w:tblW w:w="0" w:type="auto"/>
        <w:tblLook w:val="04A0" w:firstRow="1" w:lastRow="0" w:firstColumn="1" w:lastColumn="0" w:noHBand="0" w:noVBand="1"/>
      </w:tblPr>
      <w:tblGrid>
        <w:gridCol w:w="9630"/>
      </w:tblGrid>
      <w:tr w:rsidR="000F4F71" w14:paraId="77A15FBF" w14:textId="77777777" w:rsidTr="000F4F71">
        <w:tc>
          <w:tcPr>
            <w:tcW w:w="9630" w:type="dxa"/>
          </w:tcPr>
          <w:p w14:paraId="52AFC399" w14:textId="77777777" w:rsidR="000F4F71" w:rsidRPr="000F4F71" w:rsidRDefault="000F4F71" w:rsidP="000F4F71">
            <w:pPr>
              <w:spacing w:after="0"/>
              <w:rPr>
                <w:rFonts w:ascii="Times" w:eastAsia="Batang" w:hAnsi="Times" w:cs="Times"/>
                <w:bCs/>
                <w:lang w:eastAsia="x-none"/>
              </w:rPr>
            </w:pPr>
            <w:r w:rsidRPr="000F4F71">
              <w:rPr>
                <w:rFonts w:ascii="Times" w:eastAsia="Batang" w:hAnsi="Times" w:cs="Times"/>
                <w:bCs/>
                <w:highlight w:val="green"/>
                <w:lang w:eastAsia="x-none"/>
              </w:rPr>
              <w:t>Agreement:</w:t>
            </w:r>
          </w:p>
          <w:p w14:paraId="3BEF9D99" w14:textId="77777777" w:rsidR="000F4F71" w:rsidRPr="000F4F71" w:rsidRDefault="000F4F71" w:rsidP="000F4F71">
            <w:pPr>
              <w:numPr>
                <w:ilvl w:val="0"/>
                <w:numId w:val="36"/>
              </w:numPr>
              <w:spacing w:after="0"/>
              <w:rPr>
                <w:rFonts w:ascii="Times" w:eastAsia="Batang" w:hAnsi="Times" w:cs="Times"/>
                <w:bCs/>
                <w:lang w:eastAsia="x-none"/>
              </w:rPr>
            </w:pPr>
            <w:r w:rsidRPr="000F4F71">
              <w:rPr>
                <w:rFonts w:ascii="Times" w:eastAsia="Batang" w:hAnsi="Times" w:cs="Times"/>
                <w:bCs/>
                <w:lang w:eastAsia="x-none"/>
              </w:rPr>
              <w:t>RRC parameter dl-</w:t>
            </w:r>
            <w:proofErr w:type="spellStart"/>
            <w:r w:rsidRPr="000F4F71">
              <w:rPr>
                <w:rFonts w:ascii="Times" w:eastAsia="Batang" w:hAnsi="Times" w:cs="Times"/>
                <w:bCs/>
                <w:lang w:eastAsia="x-none"/>
              </w:rPr>
              <w:t>DataToUL</w:t>
            </w:r>
            <w:proofErr w:type="spellEnd"/>
            <w:r w:rsidRPr="000F4F71">
              <w:rPr>
                <w:rFonts w:ascii="Times" w:eastAsia="Batang" w:hAnsi="Times" w:cs="Times"/>
                <w:bCs/>
                <w:lang w:eastAsia="x-none"/>
              </w:rPr>
              <w:t xml:space="preserve">-ACK supports a value that can be </w:t>
            </w:r>
            <w:proofErr w:type="spellStart"/>
            <w:r w:rsidRPr="000F4F71">
              <w:rPr>
                <w:rFonts w:ascii="Times" w:eastAsia="Batang" w:hAnsi="Times" w:cs="Times"/>
                <w:bCs/>
                <w:lang w:eastAsia="x-none"/>
              </w:rPr>
              <w:t>signaled</w:t>
            </w:r>
            <w:proofErr w:type="spellEnd"/>
            <w:r w:rsidRPr="000F4F71">
              <w:rPr>
                <w:rFonts w:ascii="Times" w:eastAsia="Batang" w:hAnsi="Times" w:cs="Times"/>
                <w:bCs/>
                <w:lang w:eastAsia="x-none"/>
              </w:rPr>
              <w:t xml:space="preserve"> by PDSCH-to-HARQ-timing-indicator, which indicates that the UE needs to store the HARQ A/N feedback result for the corresponding PDSCH, and which does not provide any timing for the transmission of this HARQ A/N feedback result</w:t>
            </w:r>
          </w:p>
          <w:p w14:paraId="79C32C61" w14:textId="0C9DAEC1" w:rsidR="000F4F71" w:rsidRPr="000F4F71" w:rsidRDefault="000F4F71" w:rsidP="000F4F71">
            <w:pPr>
              <w:spacing w:after="0"/>
              <w:rPr>
                <w:rFonts w:ascii="Times" w:eastAsia="Batang" w:hAnsi="Times" w:cs="Times"/>
                <w:lang w:eastAsia="x-none"/>
              </w:rPr>
            </w:pPr>
          </w:p>
          <w:p w14:paraId="10564FFD"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highlight w:val="green"/>
                <w:lang w:eastAsia="x-none"/>
              </w:rPr>
              <w:t>Agreement:</w:t>
            </w:r>
          </w:p>
          <w:p w14:paraId="5A4769EF"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lang w:eastAsia="x-none"/>
              </w:rPr>
              <w:lastRenderedPageBreak/>
              <w:t>For enabling multiple opportunities for HARQ A/N transmission and for cross-COT HARQ-ACK feedback, at least the following is supported:</w:t>
            </w:r>
          </w:p>
          <w:p w14:paraId="00B7EB8A" w14:textId="77777777" w:rsidR="000F4F71" w:rsidRPr="000F4F71" w:rsidRDefault="000F4F71" w:rsidP="000F4F71">
            <w:pPr>
              <w:spacing w:after="0"/>
              <w:rPr>
                <w:rFonts w:ascii="Times" w:eastAsia="Batang" w:hAnsi="Times" w:cs="Times"/>
                <w:lang w:eastAsia="x-none"/>
              </w:rPr>
            </w:pPr>
            <w:proofErr w:type="spellStart"/>
            <w:r w:rsidRPr="000F4F71">
              <w:rPr>
                <w:rFonts w:ascii="Times" w:eastAsia="Batang" w:hAnsi="Times" w:cs="Times"/>
                <w:lang w:eastAsia="x-none"/>
              </w:rPr>
              <w:t>gNB</w:t>
            </w:r>
            <w:proofErr w:type="spellEnd"/>
            <w:r w:rsidRPr="000F4F71">
              <w:rPr>
                <w:rFonts w:ascii="Times" w:eastAsia="Batang" w:hAnsi="Times" w:cs="Times"/>
                <w:lang w:eastAsia="x-none"/>
              </w:rPr>
              <w:t xml:space="preserve"> requests/triggers feedback for PDSCH from earlier COT(s) or additional reporting of earlier HARQ feedback, where the exact HARQ feedback timing and resource is provided to the UE in another DCI (in the same or in another COT)</w:t>
            </w:r>
          </w:p>
          <w:p w14:paraId="2AD3CE52" w14:textId="77777777" w:rsidR="000F4F71" w:rsidRPr="000F4F71" w:rsidRDefault="000F4F71" w:rsidP="000F4F71">
            <w:pPr>
              <w:spacing w:after="0"/>
              <w:rPr>
                <w:rFonts w:ascii="Times" w:eastAsia="Batang" w:hAnsi="Times" w:cs="Times"/>
                <w:lang w:eastAsia="x-none"/>
              </w:rPr>
            </w:pPr>
          </w:p>
          <w:p w14:paraId="1A9EFAAE"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highlight w:val="green"/>
                <w:lang w:eastAsia="x-none"/>
              </w:rPr>
              <w:t>Agreement:</w:t>
            </w:r>
          </w:p>
          <w:p w14:paraId="6003B0D9"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lang w:eastAsia="x-none"/>
              </w:rPr>
              <w:t>Cross-carrier HARQ re-transmissions will not be discussed for NR-U in Rel-16.</w:t>
            </w:r>
          </w:p>
          <w:p w14:paraId="1E2B2118" w14:textId="77777777" w:rsidR="000F4F71" w:rsidRPr="000F4F71" w:rsidRDefault="000F4F71" w:rsidP="005F28B0">
            <w:pPr>
              <w:rPr>
                <w:lang w:eastAsia="ja-JP"/>
              </w:rPr>
            </w:pPr>
          </w:p>
        </w:tc>
      </w:tr>
    </w:tbl>
    <w:p w14:paraId="67EE5E62" w14:textId="77777777" w:rsidR="000F4F71" w:rsidRDefault="000F4F71" w:rsidP="005F28B0">
      <w:pPr>
        <w:rPr>
          <w:lang w:eastAsia="ja-JP"/>
        </w:rPr>
      </w:pPr>
    </w:p>
    <w:sectPr w:rsidR="000F4F71">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2CE25" w14:textId="77777777" w:rsidR="00B7260D" w:rsidRDefault="00B7260D">
      <w:r>
        <w:separator/>
      </w:r>
    </w:p>
  </w:endnote>
  <w:endnote w:type="continuationSeparator" w:id="0">
    <w:p w14:paraId="26629BE7" w14:textId="77777777" w:rsidR="00B7260D" w:rsidRDefault="00B7260D">
      <w:r>
        <w:continuationSeparator/>
      </w:r>
    </w:p>
  </w:endnote>
  <w:endnote w:type="continuationNotice" w:id="1">
    <w:p w14:paraId="1724493E" w14:textId="77777777" w:rsidR="00B7260D" w:rsidRDefault="00B72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2B66A84F"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5104A">
      <w:rPr>
        <w:rStyle w:val="af5"/>
      </w:rPr>
      <w:t>4</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38FCE" w14:textId="77777777" w:rsidR="00B7260D" w:rsidRDefault="00B7260D">
      <w:r>
        <w:separator/>
      </w:r>
    </w:p>
  </w:footnote>
  <w:footnote w:type="continuationSeparator" w:id="0">
    <w:p w14:paraId="4BFA4EB9" w14:textId="77777777" w:rsidR="00B7260D" w:rsidRDefault="00B7260D">
      <w:r>
        <w:continuationSeparator/>
      </w:r>
    </w:p>
  </w:footnote>
  <w:footnote w:type="continuationNotice" w:id="1">
    <w:p w14:paraId="25CC2B3D" w14:textId="77777777" w:rsidR="00B7260D" w:rsidRDefault="00B726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795EDF"/>
    <w:multiLevelType w:val="multilevel"/>
    <w:tmpl w:val="0F4AD662"/>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0B4810"/>
    <w:multiLevelType w:val="hybridMultilevel"/>
    <w:tmpl w:val="8EC6C4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51F26"/>
    <w:multiLevelType w:val="hybridMultilevel"/>
    <w:tmpl w:val="877295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0714C1"/>
    <w:multiLevelType w:val="hybridMultilevel"/>
    <w:tmpl w:val="D4DCA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9E2E3C"/>
    <w:multiLevelType w:val="multilevel"/>
    <w:tmpl w:val="C114C30A"/>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4"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AA7BE3"/>
    <w:multiLevelType w:val="hybridMultilevel"/>
    <w:tmpl w:val="A6A6D976"/>
    <w:lvl w:ilvl="0" w:tplc="83D858C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5BE4433"/>
    <w:multiLevelType w:val="hybridMultilevel"/>
    <w:tmpl w:val="EDA8DC42"/>
    <w:lvl w:ilvl="0" w:tplc="673843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D9571C"/>
    <w:multiLevelType w:val="multilevel"/>
    <w:tmpl w:val="46DE3DCE"/>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7E3E07"/>
    <w:multiLevelType w:val="hybridMultilevel"/>
    <w:tmpl w:val="5C325C48"/>
    <w:lvl w:ilvl="0" w:tplc="D14E3DBA">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8"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08E558A"/>
    <w:multiLevelType w:val="hybridMultilevel"/>
    <w:tmpl w:val="AD761DD2"/>
    <w:lvl w:ilvl="0" w:tplc="C762989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7B26F0"/>
    <w:multiLevelType w:val="hybridMultilevel"/>
    <w:tmpl w:val="A60CA534"/>
    <w:lvl w:ilvl="0" w:tplc="B7E8B9F0">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3"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9342216"/>
    <w:multiLevelType w:val="hybridMultilevel"/>
    <w:tmpl w:val="BE12552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3"/>
  </w:num>
  <w:num w:numId="2">
    <w:abstractNumId w:val="36"/>
  </w:num>
  <w:num w:numId="3">
    <w:abstractNumId w:val="17"/>
  </w:num>
  <w:num w:numId="4">
    <w:abstractNumId w:val="30"/>
  </w:num>
  <w:num w:numId="5">
    <w:abstractNumId w:val="23"/>
  </w:num>
  <w:num w:numId="6">
    <w:abstractNumId w:val="24"/>
  </w:num>
  <w:num w:numId="7">
    <w:abstractNumId w:val="20"/>
  </w:num>
  <w:num w:numId="8">
    <w:abstractNumId w:val="34"/>
  </w:num>
  <w:num w:numId="9">
    <w:abstractNumId w:val="14"/>
  </w:num>
  <w:num w:numId="10">
    <w:abstractNumId w:val="29"/>
  </w:num>
  <w:num w:numId="11">
    <w:abstractNumId w:val="28"/>
  </w:num>
  <w:num w:numId="12">
    <w:abstractNumId w:val="7"/>
  </w:num>
  <w:num w:numId="13">
    <w:abstractNumId w:val="13"/>
  </w:num>
  <w:num w:numId="14">
    <w:abstractNumId w:val="8"/>
  </w:num>
  <w:num w:numId="15">
    <w:abstractNumId w:val="10"/>
  </w:num>
  <w:num w:numId="16">
    <w:abstractNumId w:val="3"/>
  </w:num>
  <w:num w:numId="17">
    <w:abstractNumId w:val="12"/>
  </w:num>
  <w:num w:numId="18">
    <w:abstractNumId w:val="11"/>
  </w:num>
  <w:num w:numId="19">
    <w:abstractNumId w:val="16"/>
  </w:num>
  <w:num w:numId="20">
    <w:abstractNumId w:val="25"/>
  </w:num>
  <w:num w:numId="21">
    <w:abstractNumId w:val="0"/>
  </w:num>
  <w:num w:numId="22">
    <w:abstractNumId w:val="35"/>
  </w:num>
  <w:num w:numId="23">
    <w:abstractNumId w:val="19"/>
  </w:num>
  <w:num w:numId="24">
    <w:abstractNumId w:val="9"/>
  </w:num>
  <w:num w:numId="25">
    <w:abstractNumId w:val="32"/>
  </w:num>
  <w:num w:numId="26">
    <w:abstractNumId w:val="6"/>
  </w:num>
  <w:num w:numId="27">
    <w:abstractNumId w:val="4"/>
  </w:num>
  <w:num w:numId="28">
    <w:abstractNumId w:val="15"/>
  </w:num>
  <w:num w:numId="29">
    <w:abstractNumId w:val="18"/>
  </w:num>
  <w:num w:numId="30">
    <w:abstractNumId w:val="31"/>
  </w:num>
  <w:num w:numId="31">
    <w:abstractNumId w:val="27"/>
  </w:num>
  <w:num w:numId="32">
    <w:abstractNumId w:val="5"/>
  </w:num>
  <w:num w:numId="33">
    <w:abstractNumId w:val="2"/>
  </w:num>
  <w:num w:numId="34">
    <w:abstractNumId w:val="26"/>
  </w:num>
  <w:num w:numId="35">
    <w:abstractNumId w:val="1"/>
  </w:num>
  <w:num w:numId="36">
    <w:abstractNumId w:val="5"/>
  </w:num>
  <w:num w:numId="37">
    <w:abstractNumId w:val="22"/>
  </w:num>
  <w:num w:numId="38">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D17"/>
    <w:rsid w:val="00003F5E"/>
    <w:rsid w:val="000054F7"/>
    <w:rsid w:val="00005BA8"/>
    <w:rsid w:val="00006987"/>
    <w:rsid w:val="00006F07"/>
    <w:rsid w:val="000071A7"/>
    <w:rsid w:val="000071DC"/>
    <w:rsid w:val="00007483"/>
    <w:rsid w:val="00010D87"/>
    <w:rsid w:val="0001175D"/>
    <w:rsid w:val="00011D9F"/>
    <w:rsid w:val="00011F63"/>
    <w:rsid w:val="00013795"/>
    <w:rsid w:val="00013CE7"/>
    <w:rsid w:val="00013E6F"/>
    <w:rsid w:val="00014051"/>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743"/>
    <w:rsid w:val="00031E0C"/>
    <w:rsid w:val="00032060"/>
    <w:rsid w:val="00032486"/>
    <w:rsid w:val="0003260D"/>
    <w:rsid w:val="000329CE"/>
    <w:rsid w:val="000331C6"/>
    <w:rsid w:val="000332CA"/>
    <w:rsid w:val="000334FE"/>
    <w:rsid w:val="00033C8D"/>
    <w:rsid w:val="00034302"/>
    <w:rsid w:val="00034C07"/>
    <w:rsid w:val="0003542D"/>
    <w:rsid w:val="00035574"/>
    <w:rsid w:val="00035A60"/>
    <w:rsid w:val="00036A11"/>
    <w:rsid w:val="00036F38"/>
    <w:rsid w:val="00037114"/>
    <w:rsid w:val="00037478"/>
    <w:rsid w:val="00037B0C"/>
    <w:rsid w:val="00040D18"/>
    <w:rsid w:val="0004128F"/>
    <w:rsid w:val="00041836"/>
    <w:rsid w:val="00041E8D"/>
    <w:rsid w:val="00042C82"/>
    <w:rsid w:val="00042E74"/>
    <w:rsid w:val="000442A5"/>
    <w:rsid w:val="00044798"/>
    <w:rsid w:val="0004510F"/>
    <w:rsid w:val="00046137"/>
    <w:rsid w:val="00047F74"/>
    <w:rsid w:val="00047FE6"/>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58E4"/>
    <w:rsid w:val="00057AA6"/>
    <w:rsid w:val="0006043B"/>
    <w:rsid w:val="00060784"/>
    <w:rsid w:val="00060D12"/>
    <w:rsid w:val="0006147E"/>
    <w:rsid w:val="00061B2D"/>
    <w:rsid w:val="0006224C"/>
    <w:rsid w:val="00062449"/>
    <w:rsid w:val="00062963"/>
    <w:rsid w:val="0006331F"/>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76F"/>
    <w:rsid w:val="00071B78"/>
    <w:rsid w:val="00071C0F"/>
    <w:rsid w:val="0007215B"/>
    <w:rsid w:val="000725E5"/>
    <w:rsid w:val="00073940"/>
    <w:rsid w:val="00073A3F"/>
    <w:rsid w:val="00074024"/>
    <w:rsid w:val="00075BB7"/>
    <w:rsid w:val="0007690F"/>
    <w:rsid w:val="00076F2E"/>
    <w:rsid w:val="000803A0"/>
    <w:rsid w:val="00080571"/>
    <w:rsid w:val="00081405"/>
    <w:rsid w:val="00081E4C"/>
    <w:rsid w:val="00082B6C"/>
    <w:rsid w:val="00083B28"/>
    <w:rsid w:val="00083CFB"/>
    <w:rsid w:val="000854B0"/>
    <w:rsid w:val="00085A5C"/>
    <w:rsid w:val="000865D7"/>
    <w:rsid w:val="00087560"/>
    <w:rsid w:val="000877EB"/>
    <w:rsid w:val="00087E13"/>
    <w:rsid w:val="00087EE1"/>
    <w:rsid w:val="00087F01"/>
    <w:rsid w:val="00087FB3"/>
    <w:rsid w:val="0009003D"/>
    <w:rsid w:val="0009048D"/>
    <w:rsid w:val="000908EC"/>
    <w:rsid w:val="00090E2D"/>
    <w:rsid w:val="0009145E"/>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78A"/>
    <w:rsid w:val="000A5BD3"/>
    <w:rsid w:val="000A65C8"/>
    <w:rsid w:val="000A6936"/>
    <w:rsid w:val="000A6BB2"/>
    <w:rsid w:val="000B038F"/>
    <w:rsid w:val="000B0BE4"/>
    <w:rsid w:val="000B0EBC"/>
    <w:rsid w:val="000B1005"/>
    <w:rsid w:val="000B19DB"/>
    <w:rsid w:val="000B1BD7"/>
    <w:rsid w:val="000B2408"/>
    <w:rsid w:val="000B2427"/>
    <w:rsid w:val="000B3279"/>
    <w:rsid w:val="000B42FD"/>
    <w:rsid w:val="000B486A"/>
    <w:rsid w:val="000B49DB"/>
    <w:rsid w:val="000B5228"/>
    <w:rsid w:val="000B5EA7"/>
    <w:rsid w:val="000B6066"/>
    <w:rsid w:val="000B63B1"/>
    <w:rsid w:val="000B6F65"/>
    <w:rsid w:val="000B7468"/>
    <w:rsid w:val="000B763B"/>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D7F04"/>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4F71"/>
    <w:rsid w:val="000F5FB5"/>
    <w:rsid w:val="000F62E0"/>
    <w:rsid w:val="000F6BC1"/>
    <w:rsid w:val="000F72C1"/>
    <w:rsid w:val="000F766C"/>
    <w:rsid w:val="000F7713"/>
    <w:rsid w:val="0010053A"/>
    <w:rsid w:val="00100CDE"/>
    <w:rsid w:val="00101022"/>
    <w:rsid w:val="00101155"/>
    <w:rsid w:val="00101982"/>
    <w:rsid w:val="00101A9B"/>
    <w:rsid w:val="00101C3D"/>
    <w:rsid w:val="0010201D"/>
    <w:rsid w:val="001021F0"/>
    <w:rsid w:val="00102B08"/>
    <w:rsid w:val="00102D91"/>
    <w:rsid w:val="00103168"/>
    <w:rsid w:val="00103674"/>
    <w:rsid w:val="0010380B"/>
    <w:rsid w:val="00103B2C"/>
    <w:rsid w:val="00103BED"/>
    <w:rsid w:val="0010554C"/>
    <w:rsid w:val="001063A6"/>
    <w:rsid w:val="00106F60"/>
    <w:rsid w:val="00107D5D"/>
    <w:rsid w:val="00107F2F"/>
    <w:rsid w:val="00110451"/>
    <w:rsid w:val="0011070C"/>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8CE"/>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7F1D"/>
    <w:rsid w:val="001505FC"/>
    <w:rsid w:val="00150870"/>
    <w:rsid w:val="00151516"/>
    <w:rsid w:val="0015154C"/>
    <w:rsid w:val="00152351"/>
    <w:rsid w:val="00152393"/>
    <w:rsid w:val="001526A4"/>
    <w:rsid w:val="00152BE6"/>
    <w:rsid w:val="00152EDA"/>
    <w:rsid w:val="001535EC"/>
    <w:rsid w:val="00153BB2"/>
    <w:rsid w:val="00153D5F"/>
    <w:rsid w:val="00154162"/>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E2B"/>
    <w:rsid w:val="0018259F"/>
    <w:rsid w:val="001827CC"/>
    <w:rsid w:val="00182F10"/>
    <w:rsid w:val="00183562"/>
    <w:rsid w:val="00183AA7"/>
    <w:rsid w:val="00184CFE"/>
    <w:rsid w:val="0018574D"/>
    <w:rsid w:val="00185992"/>
    <w:rsid w:val="00186179"/>
    <w:rsid w:val="001863C6"/>
    <w:rsid w:val="001863E3"/>
    <w:rsid w:val="001866E9"/>
    <w:rsid w:val="00186AA2"/>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7D7"/>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060"/>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496B"/>
    <w:rsid w:val="001E5183"/>
    <w:rsid w:val="001E559B"/>
    <w:rsid w:val="001E56B4"/>
    <w:rsid w:val="001E5ED0"/>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01"/>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224"/>
    <w:rsid w:val="0021799B"/>
    <w:rsid w:val="002200AE"/>
    <w:rsid w:val="00221270"/>
    <w:rsid w:val="002215AA"/>
    <w:rsid w:val="00221B5F"/>
    <w:rsid w:val="00221CE3"/>
    <w:rsid w:val="00222369"/>
    <w:rsid w:val="00222445"/>
    <w:rsid w:val="002225B3"/>
    <w:rsid w:val="002226F9"/>
    <w:rsid w:val="002227C2"/>
    <w:rsid w:val="00222D42"/>
    <w:rsid w:val="00222DE4"/>
    <w:rsid w:val="002252B6"/>
    <w:rsid w:val="00226ECE"/>
    <w:rsid w:val="0022761D"/>
    <w:rsid w:val="00227BD0"/>
    <w:rsid w:val="00230070"/>
    <w:rsid w:val="00231AF0"/>
    <w:rsid w:val="00231B80"/>
    <w:rsid w:val="00232B6B"/>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C67"/>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1FB"/>
    <w:rsid w:val="00261439"/>
    <w:rsid w:val="00261A2A"/>
    <w:rsid w:val="00261C12"/>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9BD"/>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3D68"/>
    <w:rsid w:val="002940C1"/>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2EB"/>
    <w:rsid w:val="002A37B3"/>
    <w:rsid w:val="002A3866"/>
    <w:rsid w:val="002A4127"/>
    <w:rsid w:val="002A4839"/>
    <w:rsid w:val="002A4EEB"/>
    <w:rsid w:val="002A512D"/>
    <w:rsid w:val="002A5188"/>
    <w:rsid w:val="002A5D13"/>
    <w:rsid w:val="002A5E54"/>
    <w:rsid w:val="002A7420"/>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70"/>
    <w:rsid w:val="002C32AD"/>
    <w:rsid w:val="002C3326"/>
    <w:rsid w:val="002C3343"/>
    <w:rsid w:val="002C4466"/>
    <w:rsid w:val="002C595E"/>
    <w:rsid w:val="002C5B49"/>
    <w:rsid w:val="002C641C"/>
    <w:rsid w:val="002C750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5A1C"/>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5"/>
    <w:rsid w:val="00347F6B"/>
    <w:rsid w:val="0035062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477"/>
    <w:rsid w:val="00377E5F"/>
    <w:rsid w:val="00381AF1"/>
    <w:rsid w:val="00382172"/>
    <w:rsid w:val="003825A3"/>
    <w:rsid w:val="003826BD"/>
    <w:rsid w:val="00382E0B"/>
    <w:rsid w:val="00382F66"/>
    <w:rsid w:val="00383089"/>
    <w:rsid w:val="003831E7"/>
    <w:rsid w:val="00383BB4"/>
    <w:rsid w:val="003847FD"/>
    <w:rsid w:val="00385224"/>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6A1"/>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1C3C"/>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80A"/>
    <w:rsid w:val="003E4559"/>
    <w:rsid w:val="003E5099"/>
    <w:rsid w:val="003E528A"/>
    <w:rsid w:val="003E570B"/>
    <w:rsid w:val="003E576C"/>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D49"/>
    <w:rsid w:val="003F6F52"/>
    <w:rsid w:val="003F7C34"/>
    <w:rsid w:val="004003D5"/>
    <w:rsid w:val="00400773"/>
    <w:rsid w:val="00400B59"/>
    <w:rsid w:val="00400C3F"/>
    <w:rsid w:val="00400CCA"/>
    <w:rsid w:val="00400ED6"/>
    <w:rsid w:val="00401213"/>
    <w:rsid w:val="00401416"/>
    <w:rsid w:val="00402FC7"/>
    <w:rsid w:val="004034D6"/>
    <w:rsid w:val="004036E8"/>
    <w:rsid w:val="00403722"/>
    <w:rsid w:val="004037BE"/>
    <w:rsid w:val="0040382E"/>
    <w:rsid w:val="004041F8"/>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05"/>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764"/>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9EF"/>
    <w:rsid w:val="00434C24"/>
    <w:rsid w:val="00434FD2"/>
    <w:rsid w:val="0043504D"/>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A02"/>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4DE"/>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ACC"/>
    <w:rsid w:val="00486E13"/>
    <w:rsid w:val="00486E6A"/>
    <w:rsid w:val="004919CF"/>
    <w:rsid w:val="00491C0C"/>
    <w:rsid w:val="00491F76"/>
    <w:rsid w:val="00492595"/>
    <w:rsid w:val="004925ED"/>
    <w:rsid w:val="00492C30"/>
    <w:rsid w:val="004932F4"/>
    <w:rsid w:val="00493991"/>
    <w:rsid w:val="00494B5B"/>
    <w:rsid w:val="00495309"/>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6EE"/>
    <w:rsid w:val="004C5C67"/>
    <w:rsid w:val="004C5DD0"/>
    <w:rsid w:val="004C634B"/>
    <w:rsid w:val="004C64D7"/>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590"/>
    <w:rsid w:val="005079C8"/>
    <w:rsid w:val="00507C5C"/>
    <w:rsid w:val="00507C7F"/>
    <w:rsid w:val="00507DD3"/>
    <w:rsid w:val="00510402"/>
    <w:rsid w:val="005107FD"/>
    <w:rsid w:val="00511034"/>
    <w:rsid w:val="00511786"/>
    <w:rsid w:val="0051193C"/>
    <w:rsid w:val="005121F0"/>
    <w:rsid w:val="00512655"/>
    <w:rsid w:val="00512867"/>
    <w:rsid w:val="00512A68"/>
    <w:rsid w:val="00513085"/>
    <w:rsid w:val="00513B4C"/>
    <w:rsid w:val="00513CB1"/>
    <w:rsid w:val="005141E7"/>
    <w:rsid w:val="00514560"/>
    <w:rsid w:val="00514877"/>
    <w:rsid w:val="0051497E"/>
    <w:rsid w:val="00515024"/>
    <w:rsid w:val="00515157"/>
    <w:rsid w:val="00515308"/>
    <w:rsid w:val="00516860"/>
    <w:rsid w:val="005168E2"/>
    <w:rsid w:val="00516CE9"/>
    <w:rsid w:val="00516DBF"/>
    <w:rsid w:val="00516DD2"/>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CB0"/>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A89"/>
    <w:rsid w:val="00555D5F"/>
    <w:rsid w:val="00555EBC"/>
    <w:rsid w:val="00556310"/>
    <w:rsid w:val="00557750"/>
    <w:rsid w:val="005605DB"/>
    <w:rsid w:val="0056094F"/>
    <w:rsid w:val="00560982"/>
    <w:rsid w:val="0056240D"/>
    <w:rsid w:val="00562864"/>
    <w:rsid w:val="0056453F"/>
    <w:rsid w:val="00564E2B"/>
    <w:rsid w:val="00565D97"/>
    <w:rsid w:val="00565F2F"/>
    <w:rsid w:val="0056611B"/>
    <w:rsid w:val="00567202"/>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1FB"/>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CC2"/>
    <w:rsid w:val="00591F01"/>
    <w:rsid w:val="0059241B"/>
    <w:rsid w:val="0059248B"/>
    <w:rsid w:val="00592C37"/>
    <w:rsid w:val="00592C6F"/>
    <w:rsid w:val="00592F6D"/>
    <w:rsid w:val="00593189"/>
    <w:rsid w:val="0059397A"/>
    <w:rsid w:val="00593A48"/>
    <w:rsid w:val="00593FD9"/>
    <w:rsid w:val="00594138"/>
    <w:rsid w:val="0059425E"/>
    <w:rsid w:val="005946D6"/>
    <w:rsid w:val="0059550E"/>
    <w:rsid w:val="00595846"/>
    <w:rsid w:val="00596108"/>
    <w:rsid w:val="005961E2"/>
    <w:rsid w:val="0059629C"/>
    <w:rsid w:val="00596481"/>
    <w:rsid w:val="00597BF8"/>
    <w:rsid w:val="00597F66"/>
    <w:rsid w:val="005A004D"/>
    <w:rsid w:val="005A06C7"/>
    <w:rsid w:val="005A07CA"/>
    <w:rsid w:val="005A1AF8"/>
    <w:rsid w:val="005A1CEF"/>
    <w:rsid w:val="005A244C"/>
    <w:rsid w:val="005A2637"/>
    <w:rsid w:val="005A30CD"/>
    <w:rsid w:val="005A33D3"/>
    <w:rsid w:val="005A4B10"/>
    <w:rsid w:val="005A5447"/>
    <w:rsid w:val="005A5538"/>
    <w:rsid w:val="005A572A"/>
    <w:rsid w:val="005A66D2"/>
    <w:rsid w:val="005B00F3"/>
    <w:rsid w:val="005B0309"/>
    <w:rsid w:val="005B0661"/>
    <w:rsid w:val="005B0784"/>
    <w:rsid w:val="005B15A7"/>
    <w:rsid w:val="005B1BE5"/>
    <w:rsid w:val="005B2B21"/>
    <w:rsid w:val="005B3E13"/>
    <w:rsid w:val="005B419F"/>
    <w:rsid w:val="005B43F8"/>
    <w:rsid w:val="005B5491"/>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E34"/>
    <w:rsid w:val="005D35C0"/>
    <w:rsid w:val="005D40E6"/>
    <w:rsid w:val="005D432A"/>
    <w:rsid w:val="005D5D5C"/>
    <w:rsid w:val="005D6514"/>
    <w:rsid w:val="005D6659"/>
    <w:rsid w:val="005D6BF1"/>
    <w:rsid w:val="005D73DC"/>
    <w:rsid w:val="005D7AE9"/>
    <w:rsid w:val="005D7C53"/>
    <w:rsid w:val="005D7DAA"/>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E7A33"/>
    <w:rsid w:val="005F1514"/>
    <w:rsid w:val="005F16DA"/>
    <w:rsid w:val="005F186B"/>
    <w:rsid w:val="005F26E0"/>
    <w:rsid w:val="005F28B0"/>
    <w:rsid w:val="005F3653"/>
    <w:rsid w:val="005F38DA"/>
    <w:rsid w:val="005F3B5E"/>
    <w:rsid w:val="005F3C62"/>
    <w:rsid w:val="005F41AF"/>
    <w:rsid w:val="005F45C1"/>
    <w:rsid w:val="005F47F5"/>
    <w:rsid w:val="005F4C7E"/>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678"/>
    <w:rsid w:val="00615748"/>
    <w:rsid w:val="00615832"/>
    <w:rsid w:val="00615AE6"/>
    <w:rsid w:val="00615D8F"/>
    <w:rsid w:val="00616572"/>
    <w:rsid w:val="00616D43"/>
    <w:rsid w:val="006170DE"/>
    <w:rsid w:val="00617598"/>
    <w:rsid w:val="00617722"/>
    <w:rsid w:val="0061780E"/>
    <w:rsid w:val="00621BA1"/>
    <w:rsid w:val="006221B2"/>
    <w:rsid w:val="00622225"/>
    <w:rsid w:val="006224DE"/>
    <w:rsid w:val="006226E4"/>
    <w:rsid w:val="0062411E"/>
    <w:rsid w:val="0062513F"/>
    <w:rsid w:val="00625350"/>
    <w:rsid w:val="00625369"/>
    <w:rsid w:val="006253FE"/>
    <w:rsid w:val="00625A2D"/>
    <w:rsid w:val="00625BF4"/>
    <w:rsid w:val="0062623E"/>
    <w:rsid w:val="00626313"/>
    <w:rsid w:val="006300B6"/>
    <w:rsid w:val="00630C3D"/>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5BCF"/>
    <w:rsid w:val="006465AA"/>
    <w:rsid w:val="00646DAC"/>
    <w:rsid w:val="0064786A"/>
    <w:rsid w:val="00647C17"/>
    <w:rsid w:val="00647D2A"/>
    <w:rsid w:val="00650785"/>
    <w:rsid w:val="00650B27"/>
    <w:rsid w:val="00650EDD"/>
    <w:rsid w:val="0065104A"/>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6EF3"/>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6D90"/>
    <w:rsid w:val="00687159"/>
    <w:rsid w:val="00687CD6"/>
    <w:rsid w:val="006900E3"/>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726"/>
    <w:rsid w:val="00697808"/>
    <w:rsid w:val="00697EA8"/>
    <w:rsid w:val="006A031F"/>
    <w:rsid w:val="006A046A"/>
    <w:rsid w:val="006A062C"/>
    <w:rsid w:val="006A0B5D"/>
    <w:rsid w:val="006A0B90"/>
    <w:rsid w:val="006A0BA8"/>
    <w:rsid w:val="006A1911"/>
    <w:rsid w:val="006A2B7B"/>
    <w:rsid w:val="006A2D4C"/>
    <w:rsid w:val="006A32DC"/>
    <w:rsid w:val="006A3BE4"/>
    <w:rsid w:val="006A4206"/>
    <w:rsid w:val="006A4AD2"/>
    <w:rsid w:val="006A4C31"/>
    <w:rsid w:val="006A57DA"/>
    <w:rsid w:val="006A692B"/>
    <w:rsid w:val="006A69CD"/>
    <w:rsid w:val="006A6D9D"/>
    <w:rsid w:val="006A7889"/>
    <w:rsid w:val="006A7CB3"/>
    <w:rsid w:val="006B0454"/>
    <w:rsid w:val="006B0D05"/>
    <w:rsid w:val="006B0E97"/>
    <w:rsid w:val="006B101E"/>
    <w:rsid w:val="006B1107"/>
    <w:rsid w:val="006B113E"/>
    <w:rsid w:val="006B1B42"/>
    <w:rsid w:val="006B23A0"/>
    <w:rsid w:val="006B2854"/>
    <w:rsid w:val="006B3077"/>
    <w:rsid w:val="006B30E4"/>
    <w:rsid w:val="006B3451"/>
    <w:rsid w:val="006B35CB"/>
    <w:rsid w:val="006B39BB"/>
    <w:rsid w:val="006B39FC"/>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A79"/>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1E21"/>
    <w:rsid w:val="006D254D"/>
    <w:rsid w:val="006D2864"/>
    <w:rsid w:val="006D3179"/>
    <w:rsid w:val="006D370F"/>
    <w:rsid w:val="006D3E28"/>
    <w:rsid w:val="006D45F7"/>
    <w:rsid w:val="006D6369"/>
    <w:rsid w:val="006D6E19"/>
    <w:rsid w:val="006D713A"/>
    <w:rsid w:val="006D7744"/>
    <w:rsid w:val="006D7897"/>
    <w:rsid w:val="006D7C31"/>
    <w:rsid w:val="006E0341"/>
    <w:rsid w:val="006E0646"/>
    <w:rsid w:val="006E0876"/>
    <w:rsid w:val="006E08DB"/>
    <w:rsid w:val="006E0950"/>
    <w:rsid w:val="006E15EF"/>
    <w:rsid w:val="006E1A2A"/>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176"/>
    <w:rsid w:val="006F0829"/>
    <w:rsid w:val="006F0F1C"/>
    <w:rsid w:val="006F1DE9"/>
    <w:rsid w:val="006F3060"/>
    <w:rsid w:val="006F3B59"/>
    <w:rsid w:val="006F4963"/>
    <w:rsid w:val="006F51AA"/>
    <w:rsid w:val="006F6067"/>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E71"/>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66DB"/>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12B"/>
    <w:rsid w:val="007522C3"/>
    <w:rsid w:val="00752334"/>
    <w:rsid w:val="00752BCA"/>
    <w:rsid w:val="00752DBA"/>
    <w:rsid w:val="0075337B"/>
    <w:rsid w:val="00753384"/>
    <w:rsid w:val="00753F80"/>
    <w:rsid w:val="00754758"/>
    <w:rsid w:val="00754BC4"/>
    <w:rsid w:val="00754BDF"/>
    <w:rsid w:val="00755A4E"/>
    <w:rsid w:val="0075641A"/>
    <w:rsid w:val="00756541"/>
    <w:rsid w:val="00756710"/>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6945"/>
    <w:rsid w:val="00780256"/>
    <w:rsid w:val="007802BA"/>
    <w:rsid w:val="007804A5"/>
    <w:rsid w:val="007809E2"/>
    <w:rsid w:val="00780A60"/>
    <w:rsid w:val="00780D5C"/>
    <w:rsid w:val="007811D2"/>
    <w:rsid w:val="007811DF"/>
    <w:rsid w:val="00781FDD"/>
    <w:rsid w:val="00782115"/>
    <w:rsid w:val="00782123"/>
    <w:rsid w:val="00783106"/>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4C4E"/>
    <w:rsid w:val="007C5298"/>
    <w:rsid w:val="007C5299"/>
    <w:rsid w:val="007C5E4A"/>
    <w:rsid w:val="007C61E1"/>
    <w:rsid w:val="007C6228"/>
    <w:rsid w:val="007C6B7C"/>
    <w:rsid w:val="007C76F6"/>
    <w:rsid w:val="007C7F30"/>
    <w:rsid w:val="007D08C1"/>
    <w:rsid w:val="007D0FA9"/>
    <w:rsid w:val="007D13A5"/>
    <w:rsid w:val="007D1A18"/>
    <w:rsid w:val="007D1CCE"/>
    <w:rsid w:val="007D2045"/>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BBA"/>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3A8"/>
    <w:rsid w:val="007F75D1"/>
    <w:rsid w:val="007F7681"/>
    <w:rsid w:val="007F7B35"/>
    <w:rsid w:val="0080044D"/>
    <w:rsid w:val="008008FC"/>
    <w:rsid w:val="00800B54"/>
    <w:rsid w:val="00801411"/>
    <w:rsid w:val="0080211F"/>
    <w:rsid w:val="008021DD"/>
    <w:rsid w:val="0080301C"/>
    <w:rsid w:val="00803337"/>
    <w:rsid w:val="0080349C"/>
    <w:rsid w:val="00803BED"/>
    <w:rsid w:val="00803D41"/>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5DE"/>
    <w:rsid w:val="008347C5"/>
    <w:rsid w:val="00835FB0"/>
    <w:rsid w:val="008362B1"/>
    <w:rsid w:val="0083634B"/>
    <w:rsid w:val="008368D2"/>
    <w:rsid w:val="00836C3E"/>
    <w:rsid w:val="008376BA"/>
    <w:rsid w:val="00840091"/>
    <w:rsid w:val="00841275"/>
    <w:rsid w:val="008413BE"/>
    <w:rsid w:val="0084156E"/>
    <w:rsid w:val="00841BDE"/>
    <w:rsid w:val="00841F07"/>
    <w:rsid w:val="00842A7B"/>
    <w:rsid w:val="00842EF7"/>
    <w:rsid w:val="008432ED"/>
    <w:rsid w:val="0084374E"/>
    <w:rsid w:val="0084379B"/>
    <w:rsid w:val="00844660"/>
    <w:rsid w:val="00844C65"/>
    <w:rsid w:val="008460B0"/>
    <w:rsid w:val="0084618E"/>
    <w:rsid w:val="008466B3"/>
    <w:rsid w:val="0084762B"/>
    <w:rsid w:val="00847F13"/>
    <w:rsid w:val="0085014F"/>
    <w:rsid w:val="00850528"/>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44D"/>
    <w:rsid w:val="00862F08"/>
    <w:rsid w:val="008632E4"/>
    <w:rsid w:val="008648AC"/>
    <w:rsid w:val="00864D62"/>
    <w:rsid w:val="0086514F"/>
    <w:rsid w:val="00865421"/>
    <w:rsid w:val="008654A5"/>
    <w:rsid w:val="00865B60"/>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1F9D"/>
    <w:rsid w:val="008820F2"/>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3F4B"/>
    <w:rsid w:val="00894D70"/>
    <w:rsid w:val="0089510F"/>
    <w:rsid w:val="00895412"/>
    <w:rsid w:val="008959F2"/>
    <w:rsid w:val="00895E07"/>
    <w:rsid w:val="00896005"/>
    <w:rsid w:val="008964EB"/>
    <w:rsid w:val="00896674"/>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9AA"/>
    <w:rsid w:val="008E0D9F"/>
    <w:rsid w:val="008E0DC7"/>
    <w:rsid w:val="008E0F80"/>
    <w:rsid w:val="008E101F"/>
    <w:rsid w:val="008E1341"/>
    <w:rsid w:val="008E19A7"/>
    <w:rsid w:val="008E1E20"/>
    <w:rsid w:val="008E2195"/>
    <w:rsid w:val="008E2281"/>
    <w:rsid w:val="008E39CA"/>
    <w:rsid w:val="008E3C3D"/>
    <w:rsid w:val="008E4934"/>
    <w:rsid w:val="008E5685"/>
    <w:rsid w:val="008E691A"/>
    <w:rsid w:val="008E711A"/>
    <w:rsid w:val="008F03FA"/>
    <w:rsid w:val="008F0807"/>
    <w:rsid w:val="008F0BB6"/>
    <w:rsid w:val="008F0D33"/>
    <w:rsid w:val="008F1ED1"/>
    <w:rsid w:val="008F2858"/>
    <w:rsid w:val="008F2BAD"/>
    <w:rsid w:val="008F3183"/>
    <w:rsid w:val="008F38A3"/>
    <w:rsid w:val="008F3BED"/>
    <w:rsid w:val="008F5C41"/>
    <w:rsid w:val="008F5E56"/>
    <w:rsid w:val="008F6537"/>
    <w:rsid w:val="008F69F9"/>
    <w:rsid w:val="008F6D9C"/>
    <w:rsid w:val="008F6E52"/>
    <w:rsid w:val="008F70F1"/>
    <w:rsid w:val="008F74F3"/>
    <w:rsid w:val="008F75B3"/>
    <w:rsid w:val="008F7B7C"/>
    <w:rsid w:val="00900D3E"/>
    <w:rsid w:val="0090118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4908"/>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3326"/>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4EF"/>
    <w:rsid w:val="00945911"/>
    <w:rsid w:val="0094659C"/>
    <w:rsid w:val="00946C87"/>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A58"/>
    <w:rsid w:val="00967F8F"/>
    <w:rsid w:val="0097083D"/>
    <w:rsid w:val="00970E43"/>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5FE2"/>
    <w:rsid w:val="009A618D"/>
    <w:rsid w:val="009A6268"/>
    <w:rsid w:val="009A6431"/>
    <w:rsid w:val="009A6CCD"/>
    <w:rsid w:val="009A75A4"/>
    <w:rsid w:val="009A7AAE"/>
    <w:rsid w:val="009B04D7"/>
    <w:rsid w:val="009B05BE"/>
    <w:rsid w:val="009B0823"/>
    <w:rsid w:val="009B092B"/>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01A"/>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584"/>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215"/>
    <w:rsid w:val="009F4774"/>
    <w:rsid w:val="009F4F45"/>
    <w:rsid w:val="009F5056"/>
    <w:rsid w:val="009F5F1F"/>
    <w:rsid w:val="009F7046"/>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4730"/>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4F0D"/>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61FD"/>
    <w:rsid w:val="00A27DE7"/>
    <w:rsid w:val="00A3032D"/>
    <w:rsid w:val="00A323AA"/>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5C3C"/>
    <w:rsid w:val="00A4660B"/>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243"/>
    <w:rsid w:val="00A56CB5"/>
    <w:rsid w:val="00A575DF"/>
    <w:rsid w:val="00A577CC"/>
    <w:rsid w:val="00A57F2B"/>
    <w:rsid w:val="00A6012E"/>
    <w:rsid w:val="00A605C9"/>
    <w:rsid w:val="00A6093B"/>
    <w:rsid w:val="00A614F0"/>
    <w:rsid w:val="00A6166C"/>
    <w:rsid w:val="00A619AE"/>
    <w:rsid w:val="00A62CF6"/>
    <w:rsid w:val="00A6308C"/>
    <w:rsid w:val="00A63991"/>
    <w:rsid w:val="00A64101"/>
    <w:rsid w:val="00A6430C"/>
    <w:rsid w:val="00A64537"/>
    <w:rsid w:val="00A647F8"/>
    <w:rsid w:val="00A64A43"/>
    <w:rsid w:val="00A64B50"/>
    <w:rsid w:val="00A66146"/>
    <w:rsid w:val="00A662F3"/>
    <w:rsid w:val="00A66C39"/>
    <w:rsid w:val="00A7047E"/>
    <w:rsid w:val="00A70DF9"/>
    <w:rsid w:val="00A71177"/>
    <w:rsid w:val="00A712D3"/>
    <w:rsid w:val="00A71F2E"/>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8E5"/>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0B9"/>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22D"/>
    <w:rsid w:val="00AA6323"/>
    <w:rsid w:val="00AA6650"/>
    <w:rsid w:val="00AA69AA"/>
    <w:rsid w:val="00AA6B6D"/>
    <w:rsid w:val="00AA6C46"/>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2A0"/>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0AD5"/>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3D1"/>
    <w:rsid w:val="00B00635"/>
    <w:rsid w:val="00B00776"/>
    <w:rsid w:val="00B0111E"/>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29"/>
    <w:rsid w:val="00B300B1"/>
    <w:rsid w:val="00B3069F"/>
    <w:rsid w:val="00B306C5"/>
    <w:rsid w:val="00B30EF9"/>
    <w:rsid w:val="00B31073"/>
    <w:rsid w:val="00B31127"/>
    <w:rsid w:val="00B3141B"/>
    <w:rsid w:val="00B322E1"/>
    <w:rsid w:val="00B3234B"/>
    <w:rsid w:val="00B3241C"/>
    <w:rsid w:val="00B3259B"/>
    <w:rsid w:val="00B32BE4"/>
    <w:rsid w:val="00B3369F"/>
    <w:rsid w:val="00B339A2"/>
    <w:rsid w:val="00B340D1"/>
    <w:rsid w:val="00B346A2"/>
    <w:rsid w:val="00B346CB"/>
    <w:rsid w:val="00B34FD4"/>
    <w:rsid w:val="00B3545D"/>
    <w:rsid w:val="00B360A0"/>
    <w:rsid w:val="00B36A0A"/>
    <w:rsid w:val="00B371F4"/>
    <w:rsid w:val="00B376C0"/>
    <w:rsid w:val="00B4097E"/>
    <w:rsid w:val="00B40A34"/>
    <w:rsid w:val="00B40A5A"/>
    <w:rsid w:val="00B40D91"/>
    <w:rsid w:val="00B4164D"/>
    <w:rsid w:val="00B41CED"/>
    <w:rsid w:val="00B439D4"/>
    <w:rsid w:val="00B4589A"/>
    <w:rsid w:val="00B46B88"/>
    <w:rsid w:val="00B46BB3"/>
    <w:rsid w:val="00B47369"/>
    <w:rsid w:val="00B474A0"/>
    <w:rsid w:val="00B47B30"/>
    <w:rsid w:val="00B50311"/>
    <w:rsid w:val="00B51ED4"/>
    <w:rsid w:val="00B53011"/>
    <w:rsid w:val="00B5393B"/>
    <w:rsid w:val="00B54305"/>
    <w:rsid w:val="00B54834"/>
    <w:rsid w:val="00B54849"/>
    <w:rsid w:val="00B54B3D"/>
    <w:rsid w:val="00B552E4"/>
    <w:rsid w:val="00B554C7"/>
    <w:rsid w:val="00B555A5"/>
    <w:rsid w:val="00B556BF"/>
    <w:rsid w:val="00B5693D"/>
    <w:rsid w:val="00B56B48"/>
    <w:rsid w:val="00B56DC8"/>
    <w:rsid w:val="00B571C6"/>
    <w:rsid w:val="00B57321"/>
    <w:rsid w:val="00B574E0"/>
    <w:rsid w:val="00B57997"/>
    <w:rsid w:val="00B57D77"/>
    <w:rsid w:val="00B57DED"/>
    <w:rsid w:val="00B61103"/>
    <w:rsid w:val="00B61C8C"/>
    <w:rsid w:val="00B61E80"/>
    <w:rsid w:val="00B62BE0"/>
    <w:rsid w:val="00B62D4A"/>
    <w:rsid w:val="00B634A2"/>
    <w:rsid w:val="00B64D27"/>
    <w:rsid w:val="00B651D4"/>
    <w:rsid w:val="00B65B0A"/>
    <w:rsid w:val="00B65FEF"/>
    <w:rsid w:val="00B66382"/>
    <w:rsid w:val="00B66E99"/>
    <w:rsid w:val="00B67677"/>
    <w:rsid w:val="00B676C6"/>
    <w:rsid w:val="00B67930"/>
    <w:rsid w:val="00B703D2"/>
    <w:rsid w:val="00B706C1"/>
    <w:rsid w:val="00B70DBF"/>
    <w:rsid w:val="00B710B5"/>
    <w:rsid w:val="00B71471"/>
    <w:rsid w:val="00B7163E"/>
    <w:rsid w:val="00B71F06"/>
    <w:rsid w:val="00B7260D"/>
    <w:rsid w:val="00B727F7"/>
    <w:rsid w:val="00B7292E"/>
    <w:rsid w:val="00B72EDE"/>
    <w:rsid w:val="00B72F45"/>
    <w:rsid w:val="00B733EE"/>
    <w:rsid w:val="00B735C3"/>
    <w:rsid w:val="00B750BF"/>
    <w:rsid w:val="00B75221"/>
    <w:rsid w:val="00B766BA"/>
    <w:rsid w:val="00B76D2A"/>
    <w:rsid w:val="00B76F61"/>
    <w:rsid w:val="00B77214"/>
    <w:rsid w:val="00B77775"/>
    <w:rsid w:val="00B77B67"/>
    <w:rsid w:val="00B77C53"/>
    <w:rsid w:val="00B8017B"/>
    <w:rsid w:val="00B80994"/>
    <w:rsid w:val="00B81A22"/>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18D"/>
    <w:rsid w:val="00B97BD4"/>
    <w:rsid w:val="00B97EE3"/>
    <w:rsid w:val="00B97F4E"/>
    <w:rsid w:val="00BA053C"/>
    <w:rsid w:val="00BA091C"/>
    <w:rsid w:val="00BA1020"/>
    <w:rsid w:val="00BA167C"/>
    <w:rsid w:val="00BA1B9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53B"/>
    <w:rsid w:val="00BB48BF"/>
    <w:rsid w:val="00BB4AF3"/>
    <w:rsid w:val="00BB51E3"/>
    <w:rsid w:val="00BB58BF"/>
    <w:rsid w:val="00BB6BFF"/>
    <w:rsid w:val="00BB6E49"/>
    <w:rsid w:val="00BB6E64"/>
    <w:rsid w:val="00BB6F4B"/>
    <w:rsid w:val="00BB71DC"/>
    <w:rsid w:val="00BB7238"/>
    <w:rsid w:val="00BB76EA"/>
    <w:rsid w:val="00BC0A41"/>
    <w:rsid w:val="00BC133D"/>
    <w:rsid w:val="00BC1357"/>
    <w:rsid w:val="00BC14F5"/>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32C2"/>
    <w:rsid w:val="00BD5896"/>
    <w:rsid w:val="00BD5D19"/>
    <w:rsid w:val="00BD6006"/>
    <w:rsid w:val="00BD640B"/>
    <w:rsid w:val="00BD6523"/>
    <w:rsid w:val="00BD6A15"/>
    <w:rsid w:val="00BD77BC"/>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34B"/>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3E3"/>
    <w:rsid w:val="00C05839"/>
    <w:rsid w:val="00C05B4F"/>
    <w:rsid w:val="00C0636D"/>
    <w:rsid w:val="00C07E93"/>
    <w:rsid w:val="00C10935"/>
    <w:rsid w:val="00C1093A"/>
    <w:rsid w:val="00C10946"/>
    <w:rsid w:val="00C110D4"/>
    <w:rsid w:val="00C11713"/>
    <w:rsid w:val="00C12068"/>
    <w:rsid w:val="00C151FD"/>
    <w:rsid w:val="00C15705"/>
    <w:rsid w:val="00C15E1A"/>
    <w:rsid w:val="00C15EDB"/>
    <w:rsid w:val="00C16682"/>
    <w:rsid w:val="00C16CC6"/>
    <w:rsid w:val="00C16F37"/>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221"/>
    <w:rsid w:val="00C2672C"/>
    <w:rsid w:val="00C26B43"/>
    <w:rsid w:val="00C26B60"/>
    <w:rsid w:val="00C26C59"/>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D28"/>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6557"/>
    <w:rsid w:val="00C4723C"/>
    <w:rsid w:val="00C477BC"/>
    <w:rsid w:val="00C47DAE"/>
    <w:rsid w:val="00C50498"/>
    <w:rsid w:val="00C5063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64C7"/>
    <w:rsid w:val="00C77CF4"/>
    <w:rsid w:val="00C800B4"/>
    <w:rsid w:val="00C801C8"/>
    <w:rsid w:val="00C8154F"/>
    <w:rsid w:val="00C81745"/>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1EB3"/>
    <w:rsid w:val="00CA22C4"/>
    <w:rsid w:val="00CA2648"/>
    <w:rsid w:val="00CA3105"/>
    <w:rsid w:val="00CA32F2"/>
    <w:rsid w:val="00CA369C"/>
    <w:rsid w:val="00CA3809"/>
    <w:rsid w:val="00CA3B17"/>
    <w:rsid w:val="00CA3EA2"/>
    <w:rsid w:val="00CA4910"/>
    <w:rsid w:val="00CA549E"/>
    <w:rsid w:val="00CA55F4"/>
    <w:rsid w:val="00CA562E"/>
    <w:rsid w:val="00CA574B"/>
    <w:rsid w:val="00CA641D"/>
    <w:rsid w:val="00CA68F4"/>
    <w:rsid w:val="00CA6B66"/>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189"/>
    <w:rsid w:val="00CC44A0"/>
    <w:rsid w:val="00CC497E"/>
    <w:rsid w:val="00CC50B0"/>
    <w:rsid w:val="00CC5C32"/>
    <w:rsid w:val="00CC6131"/>
    <w:rsid w:val="00CC6286"/>
    <w:rsid w:val="00CC64A1"/>
    <w:rsid w:val="00CC6E3A"/>
    <w:rsid w:val="00CC7164"/>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38D7"/>
    <w:rsid w:val="00CD4F79"/>
    <w:rsid w:val="00CD535C"/>
    <w:rsid w:val="00CD6191"/>
    <w:rsid w:val="00CD67E2"/>
    <w:rsid w:val="00CD6C25"/>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6FD"/>
    <w:rsid w:val="00CF790D"/>
    <w:rsid w:val="00CF7F66"/>
    <w:rsid w:val="00D00002"/>
    <w:rsid w:val="00D01488"/>
    <w:rsid w:val="00D02125"/>
    <w:rsid w:val="00D02669"/>
    <w:rsid w:val="00D02896"/>
    <w:rsid w:val="00D02907"/>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319"/>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3BE"/>
    <w:rsid w:val="00D44CB9"/>
    <w:rsid w:val="00D44F8E"/>
    <w:rsid w:val="00D4557A"/>
    <w:rsid w:val="00D4576F"/>
    <w:rsid w:val="00D461F2"/>
    <w:rsid w:val="00D47BDC"/>
    <w:rsid w:val="00D50996"/>
    <w:rsid w:val="00D50AC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C5E"/>
    <w:rsid w:val="00D76C13"/>
    <w:rsid w:val="00D76FAD"/>
    <w:rsid w:val="00D7783D"/>
    <w:rsid w:val="00D77F58"/>
    <w:rsid w:val="00D8017E"/>
    <w:rsid w:val="00D803DF"/>
    <w:rsid w:val="00D80656"/>
    <w:rsid w:val="00D809F3"/>
    <w:rsid w:val="00D80A8D"/>
    <w:rsid w:val="00D82243"/>
    <w:rsid w:val="00D82514"/>
    <w:rsid w:val="00D83239"/>
    <w:rsid w:val="00D83AC4"/>
    <w:rsid w:val="00D84093"/>
    <w:rsid w:val="00D853E6"/>
    <w:rsid w:val="00D863F0"/>
    <w:rsid w:val="00D864F8"/>
    <w:rsid w:val="00D86B09"/>
    <w:rsid w:val="00D87706"/>
    <w:rsid w:val="00D87E29"/>
    <w:rsid w:val="00D90C26"/>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4F97"/>
    <w:rsid w:val="00DA56F3"/>
    <w:rsid w:val="00DA5C1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19D"/>
    <w:rsid w:val="00DB2EF1"/>
    <w:rsid w:val="00DB3543"/>
    <w:rsid w:val="00DB41AA"/>
    <w:rsid w:val="00DB42F5"/>
    <w:rsid w:val="00DB4F74"/>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E1E"/>
    <w:rsid w:val="00DC601A"/>
    <w:rsid w:val="00DC621D"/>
    <w:rsid w:val="00DC64D3"/>
    <w:rsid w:val="00DC69C4"/>
    <w:rsid w:val="00DC773F"/>
    <w:rsid w:val="00DC77C2"/>
    <w:rsid w:val="00DC77E3"/>
    <w:rsid w:val="00DC78A7"/>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E7D0C"/>
    <w:rsid w:val="00DF0116"/>
    <w:rsid w:val="00DF01CC"/>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148"/>
    <w:rsid w:val="00E11B4C"/>
    <w:rsid w:val="00E11CD2"/>
    <w:rsid w:val="00E11EDE"/>
    <w:rsid w:val="00E11F11"/>
    <w:rsid w:val="00E12E29"/>
    <w:rsid w:val="00E1367C"/>
    <w:rsid w:val="00E13989"/>
    <w:rsid w:val="00E13B8B"/>
    <w:rsid w:val="00E13C42"/>
    <w:rsid w:val="00E13FAD"/>
    <w:rsid w:val="00E14265"/>
    <w:rsid w:val="00E149EC"/>
    <w:rsid w:val="00E14E82"/>
    <w:rsid w:val="00E1552B"/>
    <w:rsid w:val="00E15ACA"/>
    <w:rsid w:val="00E17860"/>
    <w:rsid w:val="00E17F5D"/>
    <w:rsid w:val="00E20D8C"/>
    <w:rsid w:val="00E20D8E"/>
    <w:rsid w:val="00E21073"/>
    <w:rsid w:val="00E219F6"/>
    <w:rsid w:val="00E21BD0"/>
    <w:rsid w:val="00E21F17"/>
    <w:rsid w:val="00E22454"/>
    <w:rsid w:val="00E2328E"/>
    <w:rsid w:val="00E23A68"/>
    <w:rsid w:val="00E24206"/>
    <w:rsid w:val="00E244A7"/>
    <w:rsid w:val="00E24B84"/>
    <w:rsid w:val="00E24FC6"/>
    <w:rsid w:val="00E2647D"/>
    <w:rsid w:val="00E27711"/>
    <w:rsid w:val="00E3001D"/>
    <w:rsid w:val="00E3002C"/>
    <w:rsid w:val="00E30C58"/>
    <w:rsid w:val="00E31003"/>
    <w:rsid w:val="00E312C2"/>
    <w:rsid w:val="00E31DBA"/>
    <w:rsid w:val="00E32115"/>
    <w:rsid w:val="00E332A9"/>
    <w:rsid w:val="00E33953"/>
    <w:rsid w:val="00E33AA3"/>
    <w:rsid w:val="00E33D26"/>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2E"/>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0FDA"/>
    <w:rsid w:val="00E8101D"/>
    <w:rsid w:val="00E81734"/>
    <w:rsid w:val="00E81945"/>
    <w:rsid w:val="00E823BF"/>
    <w:rsid w:val="00E82733"/>
    <w:rsid w:val="00E82750"/>
    <w:rsid w:val="00E82791"/>
    <w:rsid w:val="00E82911"/>
    <w:rsid w:val="00E8307B"/>
    <w:rsid w:val="00E837FB"/>
    <w:rsid w:val="00E83D0C"/>
    <w:rsid w:val="00E84758"/>
    <w:rsid w:val="00E8488A"/>
    <w:rsid w:val="00E84906"/>
    <w:rsid w:val="00E8497C"/>
    <w:rsid w:val="00E84A9F"/>
    <w:rsid w:val="00E85BCD"/>
    <w:rsid w:val="00E86F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478"/>
    <w:rsid w:val="00EB3F2A"/>
    <w:rsid w:val="00EB443B"/>
    <w:rsid w:val="00EB468C"/>
    <w:rsid w:val="00EB4C64"/>
    <w:rsid w:val="00EB5145"/>
    <w:rsid w:val="00EB5176"/>
    <w:rsid w:val="00EB6058"/>
    <w:rsid w:val="00EB72D8"/>
    <w:rsid w:val="00EC029B"/>
    <w:rsid w:val="00EC0D41"/>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2FC6"/>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75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577"/>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595"/>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2D3F"/>
    <w:rsid w:val="00F23705"/>
    <w:rsid w:val="00F238DB"/>
    <w:rsid w:val="00F23A73"/>
    <w:rsid w:val="00F23A98"/>
    <w:rsid w:val="00F23E26"/>
    <w:rsid w:val="00F244BB"/>
    <w:rsid w:val="00F245CA"/>
    <w:rsid w:val="00F246EB"/>
    <w:rsid w:val="00F248B4"/>
    <w:rsid w:val="00F258F6"/>
    <w:rsid w:val="00F25C3B"/>
    <w:rsid w:val="00F263D6"/>
    <w:rsid w:val="00F266DF"/>
    <w:rsid w:val="00F26DF9"/>
    <w:rsid w:val="00F270EC"/>
    <w:rsid w:val="00F272FF"/>
    <w:rsid w:val="00F2786A"/>
    <w:rsid w:val="00F27C19"/>
    <w:rsid w:val="00F27CD5"/>
    <w:rsid w:val="00F27EFE"/>
    <w:rsid w:val="00F30209"/>
    <w:rsid w:val="00F30353"/>
    <w:rsid w:val="00F3139F"/>
    <w:rsid w:val="00F316B6"/>
    <w:rsid w:val="00F31CA4"/>
    <w:rsid w:val="00F32413"/>
    <w:rsid w:val="00F326D7"/>
    <w:rsid w:val="00F33007"/>
    <w:rsid w:val="00F33C35"/>
    <w:rsid w:val="00F34010"/>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024"/>
    <w:rsid w:val="00F423EF"/>
    <w:rsid w:val="00F432A4"/>
    <w:rsid w:val="00F43584"/>
    <w:rsid w:val="00F4388C"/>
    <w:rsid w:val="00F44265"/>
    <w:rsid w:val="00F4448E"/>
    <w:rsid w:val="00F44704"/>
    <w:rsid w:val="00F450AC"/>
    <w:rsid w:val="00F45CA5"/>
    <w:rsid w:val="00F4600A"/>
    <w:rsid w:val="00F46A24"/>
    <w:rsid w:val="00F46A7C"/>
    <w:rsid w:val="00F46B4B"/>
    <w:rsid w:val="00F4736D"/>
    <w:rsid w:val="00F47781"/>
    <w:rsid w:val="00F50251"/>
    <w:rsid w:val="00F5077B"/>
    <w:rsid w:val="00F507BD"/>
    <w:rsid w:val="00F50ACD"/>
    <w:rsid w:val="00F51567"/>
    <w:rsid w:val="00F52F4D"/>
    <w:rsid w:val="00F52FB8"/>
    <w:rsid w:val="00F5398E"/>
    <w:rsid w:val="00F53DF2"/>
    <w:rsid w:val="00F5408F"/>
    <w:rsid w:val="00F5463E"/>
    <w:rsid w:val="00F547E6"/>
    <w:rsid w:val="00F54C22"/>
    <w:rsid w:val="00F54D40"/>
    <w:rsid w:val="00F5532E"/>
    <w:rsid w:val="00F55A45"/>
    <w:rsid w:val="00F55EC6"/>
    <w:rsid w:val="00F567FE"/>
    <w:rsid w:val="00F568CD"/>
    <w:rsid w:val="00F571F4"/>
    <w:rsid w:val="00F574A9"/>
    <w:rsid w:val="00F57580"/>
    <w:rsid w:val="00F604EE"/>
    <w:rsid w:val="00F607D7"/>
    <w:rsid w:val="00F60A89"/>
    <w:rsid w:val="00F612AE"/>
    <w:rsid w:val="00F620A0"/>
    <w:rsid w:val="00F621F7"/>
    <w:rsid w:val="00F626CF"/>
    <w:rsid w:val="00F63133"/>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77ED8"/>
    <w:rsid w:val="00F807A8"/>
    <w:rsid w:val="00F815B8"/>
    <w:rsid w:val="00F81916"/>
    <w:rsid w:val="00F82144"/>
    <w:rsid w:val="00F82C5F"/>
    <w:rsid w:val="00F834FA"/>
    <w:rsid w:val="00F837A6"/>
    <w:rsid w:val="00F83AD5"/>
    <w:rsid w:val="00F83D7F"/>
    <w:rsid w:val="00F84467"/>
    <w:rsid w:val="00F845F7"/>
    <w:rsid w:val="00F86208"/>
    <w:rsid w:val="00F865A4"/>
    <w:rsid w:val="00F869E2"/>
    <w:rsid w:val="00F86E1D"/>
    <w:rsid w:val="00F86F62"/>
    <w:rsid w:val="00F900CD"/>
    <w:rsid w:val="00F9034B"/>
    <w:rsid w:val="00F90EAD"/>
    <w:rsid w:val="00F91086"/>
    <w:rsid w:val="00F91A0D"/>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AA6"/>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D10"/>
    <w:rsid w:val="00FA7F1D"/>
    <w:rsid w:val="00FB0313"/>
    <w:rsid w:val="00FB1032"/>
    <w:rsid w:val="00FB16EC"/>
    <w:rsid w:val="00FB278B"/>
    <w:rsid w:val="00FB350C"/>
    <w:rsid w:val="00FB37CF"/>
    <w:rsid w:val="00FB4D69"/>
    <w:rsid w:val="00FB642D"/>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762"/>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E66"/>
    <w:rsid w:val="00FF4F0B"/>
    <w:rsid w:val="00FF53A0"/>
    <w:rsid w:val="00FF5615"/>
    <w:rsid w:val="00FF5B6C"/>
    <w:rsid w:val="00FF6655"/>
    <w:rsid w:val="00FF6D6E"/>
    <w:rsid w:val="00FF6DAA"/>
    <w:rsid w:val="00FF6DE9"/>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rsid w:val="006C4A79"/>
    <w:pPr>
      <w:keepNext/>
      <w:keepLines/>
      <w:numPr>
        <w:numId w:val="1"/>
      </w:numPr>
      <w:pBdr>
        <w:top w:val="single" w:sz="12" w:space="3" w:color="auto"/>
      </w:pBdr>
      <w:spacing w:before="240" w:after="180"/>
      <w:ind w:left="431" w:hanging="431"/>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Lista1,列出段落1,中等深浅网格 1 - 着色 21"/>
    <w:basedOn w:val="a"/>
    <w:link w:val="aff2"/>
    <w:uiPriority w:val="99"/>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 (文字),????? (文字),???? (文字),Lista1 (文字),列出段落1 (文字),中等深浅网格 1 - 着色 21 (文字)"/>
    <w:basedOn w:val="a0"/>
    <w:link w:val="aff1"/>
    <w:uiPriority w:val="34"/>
    <w:qFormat/>
    <w:locked/>
    <w:rsid w:val="005B63D3"/>
    <w:rPr>
      <w:lang w:val="en-GB" w:eastAsia="en-US"/>
    </w:rPr>
  </w:style>
  <w:style w:type="character" w:customStyle="1" w:styleId="16">
    <w:name w:val="メンション1"/>
    <w:basedOn w:val="a0"/>
    <w:uiPriority w:val="99"/>
    <w:semiHidden/>
    <w:unhideWhenUsed/>
    <w:rsid w:val="00DD7B5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0797008">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0832495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4549791">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DC400-2A68-4CE5-945F-55CEBFE2A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2640</Words>
  <Characters>15051</Characters>
  <Application>Microsoft Office Word</Application>
  <DocSecurity>0</DocSecurity>
  <Lines>125</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Naoya Shibaike</dc:creator>
  <cp:keywords>3GPP</cp:keywords>
  <cp:lastModifiedBy>Naoya Shibaike</cp:lastModifiedBy>
  <cp:revision>4</cp:revision>
  <cp:lastPrinted>2010-04-02T09:58:00Z</cp:lastPrinted>
  <dcterms:created xsi:type="dcterms:W3CDTF">2019-02-14T09:34:00Z</dcterms:created>
  <dcterms:modified xsi:type="dcterms:W3CDTF">2019-02-15T08:39:00Z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